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00"/>
      </w:pPr>
      <w:r>
        <w:rPr>
          <w:b/>
          <w:color w:val="3B82F6"/>
          <w:sz w:val="22"/>
        </w:rPr>
        <w:t>BUBBLESTONE.AI</w:t>
      </w:r>
    </w:p>
    <w:p>
      <w:pPr>
        <w:pBdr>
          <w:bottom w:val="single" w:sz="12" w:space="4" w:color="3B82F6"/>
        </w:pBdr>
      </w:pPr>
      <w:r>
        <w:rPr>
          <w:color w:val="595959"/>
          <w:sz w:val="22"/>
        </w:rPr>
        <w:t>Note d'opportunité</w:t>
      </w:r>
    </w:p>
    <w:p>
      <w:pPr>
        <w:spacing w:before="360"/>
      </w:pPr>
      <w:r>
        <w:rPr>
          <w:b/>
          <w:color w:val="1F4E79"/>
          <w:sz w:val="56"/>
        </w:rPr>
        <w:t>Le chocolat haut de gamme</w:t>
      </w:r>
    </w:p>
    <w:p>
      <w:pPr>
        <w:spacing w:after="200"/>
      </w:pPr>
      <w:r>
        <w:rPr>
          <w:b/>
          <w:color w:val="333333"/>
          <w:sz w:val="56"/>
        </w:rPr>
        <w:t>sur le marché parisien</w:t>
      </w:r>
    </w:p>
    <w:p>
      <w:r>
        <w:rPr>
          <w:i/>
          <w:color w:val="595959"/>
          <w:sz w:val="24"/>
        </w:rPr>
        <w:t>Concurrence · données de marché · risques · axes de distribution</w:t>
      </w:r>
    </w:p>
    <w:p>
      <w:pPr>
        <w:spacing w:before="720"/>
      </w:pPr>
      <w:r>
        <w:rPr>
          <w:color w:val="333333"/>
          <w:sz w:val="20"/>
        </w:rPr>
        <w:t>Préparé pour : Florent Coulon, gérant — BubbleStone.ai</w:t>
      </w:r>
    </w:p>
    <w:p>
      <w:r>
        <w:rPr>
          <w:color w:val="595959"/>
          <w:sz w:val="20"/>
        </w:rPr>
        <w:t>Projet « Nouvelle chocolaterie » · 18 juin 2026</w:t>
      </w:r>
    </w:p>
    <w:p>
      <w:r>
        <w:br w:type="page"/>
      </w:r>
    </w:p>
    <w:p>
      <w:pPr>
        <w:pStyle w:val="Heading1"/>
        <w:pBdr>
          <w:bottom w:val="single" w:sz="6" w:space="4" w:color="3B82F6"/>
        </w:pBdr>
      </w:pPr>
      <w:r>
        <w:t>1. Synthèse exécutive</w:t>
      </w:r>
    </w:p>
    <w:p>
      <w:pPr>
        <w:spacing w:after="200" w:line="300" w:lineRule="auto"/>
      </w:pPr>
      <w:r>
        <w:rPr>
          <w:i/>
          <w:color w:val="595959"/>
          <w:sz w:val="24"/>
        </w:rPr>
        <w:t>Paris est la capitale mondiale du chocolat haut de gamme — donc le marché le plus dense et le plus concurrentiel qui soit. L'opportunité existe, mais elle se gagne par la différenciation, pas par l'imitation des maisons établies.</w:t>
      </w:r>
    </w:p>
    <w:p>
      <w:pPr>
        <w:spacing w:after="140"/>
      </w:pPr>
      <w:r>
        <w:rPr>
          <w:i w:val="0"/>
        </w:rPr>
        <w:t>Le marché français du chocolat pèse 3,9 Md€ rien qu'en grande distribution (2024), pour 343 000 tonnes. Le hors-GMS — chocolatiers, épiceries fines, détaillants — représente environ 30 % des volumes, ce qui porte le marché tous circuits autour de 4,5–5 Md€. Le segment premium croît plus vite que la moyenne (estimé ~6 %/an, ordre de grandeur à manier avec prudence), porté par une appétence française record pour le chocolat noir et d'origine.</w:t>
      </w:r>
    </w:p>
    <w:p>
      <w:pPr>
        <w:spacing w:after="140"/>
      </w:pPr>
      <w:r>
        <w:rPr>
          <w:i w:val="0"/>
        </w:rPr>
        <w:t>Trois faits sourcés et solides justifient un positionnement premium à Paris :</w:t>
      </w:r>
    </w:p>
    <w:p>
      <w:pPr>
        <w:pStyle w:val="ListBullet"/>
        <w:spacing w:after="60"/>
      </w:pPr>
      <w:r>
        <w:rPr>
          <w:b/>
        </w:rPr>
        <w:t xml:space="preserve">Flux touristique record : </w:t>
      </w:r>
      <w:r>
        <w:t>22,6 M de touristes internationaux et 23,4 Md€ de dépense touristique en Île-de-France en 2024 — une clientèle à fort pouvoir d'achat, en quête de « made in Paris ».</w:t>
      </w:r>
    </w:p>
    <w:p>
      <w:pPr>
        <w:pStyle w:val="ListBullet"/>
        <w:spacing w:after="60"/>
      </w:pPr>
      <w:r>
        <w:rPr>
          <w:b/>
        </w:rPr>
        <w:t xml:space="preserve">Goût français pour le noir et l'origine : </w:t>
      </w:r>
      <w:r>
        <w:t>30 % du chocolat consommé en France est du noir, contre 5 % en moyenne UE — terrain idéal pour le single-origin et le bean-to-bar.</w:t>
      </w:r>
    </w:p>
    <w:p>
      <w:pPr>
        <w:pStyle w:val="ListBullet"/>
        <w:spacing w:after="60"/>
      </w:pPr>
      <w:r>
        <w:rPr>
          <w:b/>
        </w:rPr>
        <w:t xml:space="preserve">Effet cacao paradoxal : </w:t>
      </w:r>
      <w:r>
        <w:t>la flambée du cacao comprime surtout le chocolat standard ; le premium, dont la clientèle est moins sensible au prix, encaisse mieux et voit son écart de prix relatif se resserrer.</w:t>
      </w:r>
    </w:p>
    <w:p>
      <w:pPr>
        <w:spacing w:after="140"/>
      </w:pPr>
      <w:r>
        <w:rPr>
          <w:i w:val="0"/>
        </w:rPr>
        <w:t>Les trois risques à border en priorité : un coût matière durablement élevé et volatil (~4 000 USD/t, sans retour aux niveaux d'avant-2023) ; le triple ciseau parisien (loyer prime + pénurie de chocolatiers qualifiés + saisonnalité et chaîne du froid l'été) ; et la conformité réglementaire (EUDR, traçabilité), à transformer en argument commercial plutôt qu'à subir.</w:t>
      </w:r>
    </w:p>
    <w:p>
      <w:pPr>
        <w:spacing w:after="140"/>
      </w:pPr>
      <w:r>
        <w:rPr>
          <w:b/>
        </w:rPr>
        <w:t xml:space="preserve">Recommandation de positionnement : </w:t>
      </w:r>
      <w:r>
        <w:t>single-origin traçable + expérience boutique/atelier + une ligne moins sucrée / vegan, en captant le flux touristique parisien. C'est précisément l'intersection des tendances porteuses et de ce que la réglementation imposera de toute façon de documenter.</w:t>
      </w:r>
    </w:p>
    <w:p>
      <w:pPr>
        <w:pStyle w:val="Heading1"/>
        <w:pBdr>
          <w:bottom w:val="single" w:sz="6" w:space="4" w:color="3B82F6"/>
        </w:pBdr>
      </w:pPr>
      <w:r>
        <w:t>2. Le marché en chiffres</w:t>
      </w:r>
    </w:p>
    <w:p>
      <w:pPr>
        <w:pStyle w:val="Heading2"/>
      </w:pPr>
      <w:r>
        <w:t>2.1 Taille et structure (données vérifiées)</w:t>
      </w:r>
    </w:p>
    <w:p>
      <w:pPr>
        <w:spacing w:after="140"/>
      </w:pPr>
      <w:r>
        <w:t xml:space="preserve">Selon le </w:t>
      </w:r>
      <w:r>
        <w:rPr>
          <w:b/>
        </w:rPr>
        <w:t>Syndicat du Chocolat</w:t>
      </w:r>
      <w:r>
        <w:t xml:space="preserve"> (données Circana/Kantar, 2024), le marché en grande distribution représente </w:t>
      </w:r>
      <w:r>
        <w:rPr>
          <w:b/>
        </w:rPr>
        <w:t>3 904 M€</w:t>
      </w:r>
      <w:r>
        <w:t xml:space="preserve"> pour </w:t>
      </w:r>
      <w:r>
        <w:rPr>
          <w:b/>
        </w:rPr>
        <w:t>343 099 tonnes</w:t>
      </w:r>
      <w:r>
        <w:t>. La GMS pèse ~70 % des volumes ; le hors-GMS (chocolatiers, épiceries fines) en représente ~30 %, soit un marché total tous circuits estimé à 4,5–5 Md€. Le secteur compte 115 entreprises (90 % de PME) et 30 000 emplois directs.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600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Indicateur</w:t>
            </w:r>
          </w:p>
        </w:tc>
        <w:tc>
          <w:tcPr>
            <w:tcW w:type="dxa" w:w="2880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Valeur (2024)</w:t>
            </w:r>
          </w:p>
        </w:tc>
        <w:tc>
          <w:tcPr>
            <w:tcW w:type="dxa" w:w="2880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Source / statut</w:t>
            </w:r>
          </w:p>
        </w:tc>
      </w:tr>
      <w:tr>
        <w:tc>
          <w:tcPr>
            <w:tcW w:type="dxa" w:w="3600"/>
          </w:tcPr>
          <w:p>
            <w:pPr>
              <w:spacing w:after="0"/>
            </w:pPr>
            <w:r>
              <w:rPr>
                <w:sz w:val="19"/>
              </w:rPr>
              <w:t>CA chocolat GMS France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3 904 M€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Syndicat du Chocolat — vérifié</w:t>
            </w:r>
          </w:p>
        </w:tc>
      </w:tr>
      <w:tr>
        <w:tc>
          <w:tcPr>
            <w:tcW w:type="dxa" w:w="3600"/>
          </w:tcPr>
          <w:p>
            <w:pPr>
              <w:spacing w:after="0"/>
            </w:pPr>
            <w:r>
              <w:rPr>
                <w:sz w:val="19"/>
              </w:rPr>
              <w:t>Volume GMS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343 099 t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Syndicat du Chocolat — vérifié</w:t>
            </w:r>
          </w:p>
        </w:tc>
      </w:tr>
      <w:tr>
        <w:tc>
          <w:tcPr>
            <w:tcW w:type="dxa" w:w="3600"/>
          </w:tcPr>
          <w:p>
            <w:pPr>
              <w:spacing w:after="0"/>
            </w:pPr>
            <w:r>
              <w:rPr>
                <w:sz w:val="19"/>
              </w:rPr>
              <w:t>Conso. par foyer / an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12,3 kg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Kantar — vérifié</w:t>
            </w:r>
          </w:p>
        </w:tc>
      </w:tr>
      <w:tr>
        <w:tc>
          <w:tcPr>
            <w:tcW w:type="dxa" w:w="3600"/>
          </w:tcPr>
          <w:p>
            <w:pPr>
              <w:spacing w:after="0"/>
            </w:pPr>
            <w:r>
              <w:rPr>
                <w:sz w:val="19"/>
              </w:rPr>
              <w:t>Conso. par individu / an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~7 kg (7e rang UE)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Caobisco — vérifié</w:t>
            </w:r>
          </w:p>
        </w:tc>
      </w:tr>
      <w:tr>
        <w:tc>
          <w:tcPr>
            <w:tcW w:type="dxa" w:w="3600"/>
          </w:tcPr>
          <w:p>
            <w:pPr>
              <w:spacing w:after="0"/>
            </w:pPr>
            <w:r>
              <w:rPr>
                <w:sz w:val="19"/>
              </w:rPr>
              <w:t>Part du chocolat noir (FR)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30 % (vs 5 % UE)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Syndicat — vérifié</w:t>
            </w:r>
          </w:p>
        </w:tc>
      </w:tr>
      <w:tr>
        <w:tc>
          <w:tcPr>
            <w:tcW w:type="dxa" w:w="3600"/>
          </w:tcPr>
          <w:p>
            <w:pPr>
              <w:spacing w:after="0"/>
            </w:pPr>
            <w:r>
              <w:rPr>
                <w:sz w:val="19"/>
              </w:rPr>
              <w:t>Croissance segment premium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~6 %/an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Cabinets privés — estimation</w:t>
            </w:r>
          </w:p>
        </w:tc>
      </w:tr>
      <w:tr>
        <w:tc>
          <w:tcPr>
            <w:tcW w:type="dxa" w:w="3600"/>
          </w:tcPr>
          <w:p>
            <w:pPr>
              <w:spacing w:after="0"/>
            </w:pPr>
            <w:r>
              <w:rPr>
                <w:sz w:val="19"/>
              </w:rPr>
              <w:t>Marché mondial chocolat luxe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21 Md USD, CAGR 7,8 %</w:t>
            </w:r>
          </w:p>
        </w:tc>
        <w:tc>
          <w:tcPr>
            <w:tcW w:type="dxa" w:w="2880"/>
          </w:tcPr>
          <w:p>
            <w:pPr>
              <w:spacing w:after="0"/>
            </w:pPr>
            <w:r>
              <w:rPr>
                <w:sz w:val="19"/>
              </w:rPr>
              <w:t>Market Research Future — est.</w:t>
            </w:r>
          </w:p>
        </w:tc>
      </w:tr>
    </w:tbl>
    <w:p>
      <w:pPr>
        <w:spacing w:after="140"/>
      </w:pPr>
      <w:r>
        <w:rPr>
          <w:i/>
          <w:color w:val="595959"/>
          <w:sz w:val="19"/>
        </w:rPr>
        <w:t>Note : il n'existe pas de chiffrage officiel isolé du segment « premium » en France. Le +6 %/an est l'estimation la plus citée mais sans source primaire — à utiliser comme ordre de grandeur, pas comme donnée gravée.</w:t>
      </w:r>
    </w:p>
    <w:p>
      <w:pPr>
        <w:pStyle w:val="Heading2"/>
      </w:pPr>
      <w:r>
        <w:t>2.2 Saisonnalité</w:t>
      </w:r>
    </w:p>
    <w:p>
      <w:pPr>
        <w:spacing w:after="140"/>
      </w:pPr>
      <w:r>
        <w:t xml:space="preserve">En GMS, </w:t>
      </w:r>
      <w:r>
        <w:rPr>
          <w:b/>
        </w:rPr>
        <w:t>Noël pèse 744 M€ (~19 %)</w:t>
      </w:r>
      <w:r>
        <w:t xml:space="preserve"> et </w:t>
      </w:r>
      <w:r>
        <w:rPr>
          <w:b/>
        </w:rPr>
        <w:t>Pâques 345 M€ (~9 %)</w:t>
      </w:r>
      <w:r>
        <w:t xml:space="preserve"> du CA annuel (Syndicat, 2024). Pour un artisan, la saisonnalité est bien plus marquée : Noël, Pâques et la Saint-Valentin concentrent l'essentiel du chiffre, avec un Pâques souvent à 15–20 % du CA annuel. Le modèle de trésorerie doit absorber 4 à 5 mois creux.</w:t>
      </w:r>
    </w:p>
    <w:p>
      <w:pPr>
        <w:pStyle w:val="Heading2"/>
      </w:pPr>
      <w:r>
        <w:t>2.3 Paris : densité et tourisme</w:t>
      </w:r>
    </w:p>
    <w:p>
      <w:pPr>
        <w:pStyle w:val="ListBullet"/>
        <w:spacing w:after="60"/>
      </w:pPr>
      <w:r>
        <w:t>Paris est présentée comme la capitale du chocolat haut de gamme (devant les villes belges et suisses), avec une estimation presse de « plus de 300 artisans chocolatiers » — chiffre non recoupé institutionnellement, probablement gonflé, à vérifier.</w:t>
      </w:r>
    </w:p>
    <w:p>
      <w:pPr>
        <w:pStyle w:val="ListBullet"/>
        <w:spacing w:after="60"/>
      </w:pPr>
      <w:r>
        <w:t>Tourisme Île-de-France 2024 (source officielle Visit Paris Region) : 48,7 M de touristes (+2 %), dont 22,6 M internationaux (record), 23,4 Md€ de dépense (+8 %).</w:t>
      </w:r>
    </w:p>
    <w:p>
      <w:pPr>
        <w:pStyle w:val="ListBullet"/>
        <w:spacing w:after="60"/>
      </w:pPr>
      <w:r>
        <w:t>Salon du Chocolat de Paris 2024 : ~500 exposants, ~100 000 visiteurs, 30 pays (Porte de Versailles).</w:t>
      </w:r>
    </w:p>
    <w:p>
      <w:pPr>
        <w:pStyle w:val="Heading2"/>
      </w:pPr>
      <w:r>
        <w:t>2.4 Prix repères</w:t>
      </w:r>
    </w:p>
    <w:p>
      <w:pPr>
        <w:pStyle w:val="ListBullet"/>
        <w:spacing w:after="60"/>
      </w:pPr>
      <w:r>
        <w:t>Tablette premium / bean-to-bar : 45 à 100 €/kg ; les tablettes craft les plus chères atteignent 15–25 €/100g.</w:t>
      </w:r>
    </w:p>
    <w:p>
      <w:pPr>
        <w:pStyle w:val="ListBullet"/>
        <w:spacing w:after="60"/>
      </w:pPr>
      <w:r>
        <w:t>Bonbons / ganaches des maisons de luxe : 120 à 140 €/kg.</w:t>
      </w:r>
    </w:p>
    <w:p>
      <w:pPr>
        <w:pStyle w:val="ListBullet"/>
        <w:spacing w:after="60"/>
      </w:pPr>
      <w:r>
        <w:t>Seuls ~2 % des chocolatiers français fabriquent réellement « depuis la fève » (bean-to-bar) ; la majorité travaille la couverture (Valrhona, Barry, Cluizel).</w:t>
      </w:r>
    </w:p>
    <w:p>
      <w:r>
        <w:br w:type="page"/>
      </w:r>
    </w:p>
    <w:p>
      <w:pPr>
        <w:pStyle w:val="Heading1"/>
        <w:pBdr>
          <w:bottom w:val="single" w:sz="6" w:space="4" w:color="3B82F6"/>
        </w:pBdr>
      </w:pPr>
      <w:r>
        <w:t>3. Cartographie concurrentielle parisienne</w:t>
      </w:r>
    </w:p>
    <w:p>
      <w:pPr>
        <w:spacing w:after="200" w:line="300" w:lineRule="auto"/>
      </w:pPr>
      <w:r>
        <w:rPr>
          <w:i/>
          <w:color w:val="595959"/>
          <w:sz w:val="24"/>
        </w:rPr>
        <w:t>Avertissement : les chiffres d'affaires sont le point faible de ce marché (sociétés privées, comptes peu publics). Seul Marcolini est documenté solidement. Les prix au 100g sont des estimations calculées à partir des prix produits publics.</w:t>
      </w:r>
    </w:p>
    <w:p>
      <w:pPr>
        <w:pStyle w:val="Heading2"/>
      </w:pPr>
      <w:r>
        <w:t>3.1 Les grandes maisons de luxe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2448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Maison</w:t>
            </w:r>
          </w:p>
        </w:tc>
        <w:tc>
          <w:tcPr>
            <w:tcW w:type="dxa" w:w="1224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Boutiques</w:t>
            </w:r>
          </w:p>
        </w:tc>
        <w:tc>
          <w:tcPr>
            <w:tcW w:type="dxa" w:w="2952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Signe distinctif</w:t>
            </w:r>
          </w:p>
        </w:tc>
        <w:tc>
          <w:tcPr>
            <w:tcW w:type="dxa" w:w="1872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Prix repère</w:t>
            </w:r>
          </w:p>
        </w:tc>
        <w:tc>
          <w:tcPr>
            <w:tcW w:type="dxa" w:w="864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CA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La Maison du Chocolat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~6 +conc.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Ganaches fines, MOF Cloiseau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Coffrets 10–100 €+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Patrick Roger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7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Sculptures, MOF 2000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Jacques Genin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2–3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Caramels, ganaches au beurre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Pierre Hermé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3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Créativité aromatique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Jean-Paul Hévin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8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MOF, primé mondial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Tablettes 3,90–5,80 €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Pierre Marcolini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1–2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Grands crus, façon vigneron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Tablettes 9,90–12,90 €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50–60 M€ (groupe)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Le Chocolat A. Ducasse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~4–5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Manufacture 100 % Paris, EPV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Coffrets 31–64 €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Debauve &amp; Gallais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1–2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Fondée 1800, patrimonial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Michel Cluizel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2</w:t>
            </w:r>
          </w:p>
        </w:tc>
        <w:tc>
          <w:tcPr>
            <w:tcW w:type="dxa" w:w="2952"/>
          </w:tcPr>
          <w:p>
            <w:pPr>
              <w:spacing w:after="0"/>
            </w:pPr>
            <w:r>
              <w:rPr>
                <w:sz w:val="19"/>
              </w:rPr>
              <w:t>1ers Crus mono-origine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rPr>
                <w:sz w:val="19"/>
              </w:rPr>
              <w:t>Tablettes 7–8 €</w:t>
            </w:r>
          </w:p>
        </w:tc>
        <w:tc>
          <w:tcPr>
            <w:tcW w:type="dxa" w:w="864"/>
          </w:tcPr>
          <w:p>
            <w:pPr>
              <w:spacing w:after="0"/>
            </w:pPr>
            <w:r>
              <w:rPr>
                <w:sz w:val="19"/>
              </w:rPr>
              <w:t>n.d.</w:t>
            </w:r>
          </w:p>
        </w:tc>
      </w:tr>
    </w:tbl>
    <w:p>
      <w:pPr>
        <w:pStyle w:val="Heading2"/>
      </w:pPr>
      <w:r>
        <w:t>3.2 Nouveaux entrants &amp; bean-to-bar craft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448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Acteur</w:t>
            </w:r>
          </w:p>
        </w:tc>
        <w:tc>
          <w:tcPr>
            <w:tcW w:type="dxa" w:w="1224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Boutiques</w:t>
            </w:r>
          </w:p>
        </w:tc>
        <w:tc>
          <w:tcPr>
            <w:tcW w:type="dxa" w:w="3528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Signe distinctif</w:t>
            </w:r>
          </w:p>
        </w:tc>
        <w:tc>
          <w:tcPr>
            <w:tcW w:type="dxa" w:w="2160"/>
            <w:shd w:val="clear" w:color="auto" w:fill="1F4E79"/>
          </w:tcPr>
          <w:p>
            <w:pPr>
              <w:spacing w:after="0"/>
            </w:pPr>
            <w:r>
              <w:rPr>
                <w:b/>
                <w:color w:val="FFFFFF"/>
                <w:sz w:val="19"/>
              </w:rPr>
              <w:t>Prix repère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PLAQ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2</w:t>
            </w:r>
          </w:p>
        </w:tc>
        <w:tc>
          <w:tcPr>
            <w:tcW w:type="dxa" w:w="3528"/>
          </w:tcPr>
          <w:p>
            <w:pPr>
              <w:spacing w:after="0"/>
            </w:pPr>
            <w:r>
              <w:rPr>
                <w:sz w:val="19"/>
              </w:rPr>
              <w:t>Manufacture, fève + sucre, le plus craft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sz w:val="19"/>
              </w:rPr>
              <w:t>12–23 € (15–25 €/100g)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Edwart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5</w:t>
            </w:r>
          </w:p>
        </w:tc>
        <w:tc>
          <w:tcPr>
            <w:tcW w:type="dxa" w:w="3528"/>
          </w:tcPr>
          <w:p>
            <w:pPr>
              <w:spacing w:after="0"/>
            </w:pPr>
            <w:r>
              <w:rPr>
                <w:sz w:val="19"/>
              </w:rPr>
              <w:t>Accords audacieux, identité parisienne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Ara Chocolat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1</w:t>
            </w:r>
          </w:p>
        </w:tc>
        <w:tc>
          <w:tcPr>
            <w:tcW w:type="dxa" w:w="3528"/>
          </w:tcPr>
          <w:p>
            <w:pPr>
              <w:spacing w:after="0"/>
            </w:pPr>
            <w:r>
              <w:rPr>
                <w:sz w:val="19"/>
              </w:rPr>
              <w:t>100 % bio et vegan, sourcing latino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Jade Genin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1</w:t>
            </w:r>
          </w:p>
        </w:tc>
        <w:tc>
          <w:tcPr>
            <w:tcW w:type="dxa" w:w="3528"/>
          </w:tcPr>
          <w:p>
            <w:pPr>
              <w:spacing w:after="0"/>
            </w:pPr>
            <w:r>
              <w:rPr>
                <w:sz w:val="19"/>
              </w:rPr>
              <w:t>Nouvelle maison, signature pyramidions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Chapon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7</w:t>
            </w:r>
          </w:p>
        </w:tc>
        <w:tc>
          <w:tcPr>
            <w:tcW w:type="dxa" w:w="3528"/>
          </w:tcPr>
          <w:p>
            <w:pPr>
              <w:spacing w:after="0"/>
            </w:pPr>
            <w:r>
              <w:rPr>
                <w:sz w:val="19"/>
              </w:rPr>
              <w:t>Bar à mousse de chocolat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</w:tr>
      <w:tr>
        <w:tc>
          <w:tcPr>
            <w:tcW w:type="dxa" w:w="2448"/>
          </w:tcPr>
          <w:p>
            <w:pPr>
              <w:spacing w:after="0"/>
            </w:pPr>
            <w:r>
              <w:rPr>
                <w:sz w:val="19"/>
              </w:rPr>
              <w:t>Pralus / Bernachon / Bonnat</w:t>
            </w:r>
          </w:p>
        </w:tc>
        <w:tc>
          <w:tcPr>
            <w:tcW w:type="dxa" w:w="1224"/>
          </w:tcPr>
          <w:p>
            <w:pPr>
              <w:spacing w:after="0"/>
            </w:pPr>
            <w:r>
              <w:rPr>
                <w:sz w:val="19"/>
              </w:rPr>
              <w:t>1–2 ch.</w:t>
            </w:r>
          </w:p>
        </w:tc>
        <w:tc>
          <w:tcPr>
            <w:tcW w:type="dxa" w:w="3528"/>
          </w:tcPr>
          <w:p>
            <w:pPr>
              <w:spacing w:after="0"/>
            </w:pPr>
            <w:r>
              <w:rPr>
                <w:sz w:val="19"/>
              </w:rPr>
              <w:t>Bean-to-bar familial historique</w:t>
            </w:r>
          </w:p>
        </w:tc>
        <w:tc>
          <w:tcPr>
            <w:tcW w:type="dxa" w:w="2160"/>
          </w:tcPr>
          <w:p>
            <w:pPr>
              <w:spacing w:after="0"/>
            </w:pPr>
            <w:r>
              <w:rPr>
                <w:sz w:val="19"/>
              </w:rPr>
              <w:t>Premium</w:t>
            </w:r>
          </w:p>
        </w:tc>
      </w:tr>
    </w:tbl>
    <w:p>
      <w:pPr>
        <w:spacing w:after="140"/>
      </w:pPr>
      <w:r>
        <w:rPr>
          <w:i/>
          <w:color w:val="595959"/>
          <w:sz w:val="19"/>
        </w:rPr>
        <w:t>À écarter du périmètre : Encuentro (produit à Lille, seulement distribué à Paris) ; Maison Aleph / Myriam Sabet (pâtisserie levantine, pas chocolatier).</w:t>
      </w:r>
    </w:p>
    <w:p>
      <w:pPr>
        <w:pStyle w:val="Heading2"/>
      </w:pPr>
      <w:r>
        <w:t>3.3 Lecture stratégique</w:t>
      </w:r>
    </w:p>
    <w:p>
      <w:pPr>
        <w:spacing w:after="140"/>
      </w:pPr>
      <w:r>
        <w:rPr>
          <w:i w:val="0"/>
        </w:rPr>
        <w:t>Le marché parisien est saturé sur deux pôles : les maisons de luxe historiques (codes classiques, ganaches, MOF, réseau de boutiques prestige) et une frange bean-to-bar craft en forte croissance mais encore petite (PLAQ, Ara, Edwart). L'espace le moins occupé se situe à l'intersection : un bean-to-bar traçable à exécution « luxe » (design, expérience, service) capable de capter le flux touristique premium — là où les craft restent confidentiels et les maisons de luxe peu transparentes sur l'origine.</w:t>
      </w:r>
    </w:p>
    <w:p>
      <w:r>
        <w:br w:type="page"/>
      </w:r>
    </w:p>
    <w:p>
      <w:pPr>
        <w:pStyle w:val="Heading1"/>
        <w:pBdr>
          <w:bottom w:val="single" w:sz="6" w:space="4" w:color="3B82F6"/>
        </w:pBdr>
      </w:pPr>
      <w:r>
        <w:t>4. Risques &amp; tendances</w:t>
      </w:r>
    </w:p>
    <w:p>
      <w:pPr>
        <w:pStyle w:val="Heading2"/>
      </w:pPr>
      <w:r>
        <w:t>4.1 Prix du cacao — le risque n°1</w:t>
      </w:r>
    </w:p>
    <w:p>
      <w:pPr>
        <w:spacing w:after="140"/>
      </w:pPr>
      <w:r>
        <w:t xml:space="preserve">Trajectoire : ~2 000–3 000 USD/t avant 2023 → pic record de </w:t>
      </w:r>
      <w:r>
        <w:rPr>
          <w:b/>
        </w:rPr>
        <w:t>~12 600 USD/t en décembre 2024</w:t>
      </w:r>
      <w:r>
        <w:t xml:space="preserve"> → repli en 2026 autour de </w:t>
      </w:r>
      <w:r>
        <w:rPr>
          <w:b/>
        </w:rPr>
        <w:t>4 000 USD/t</w:t>
      </w:r>
      <w:r>
        <w:t>, soit encore ~50 % au-dessus de la moyenne historique. Causes structurelles : climat et maladies (swollen shoot, black pod) en Afrique de l'Ouest (~60 % de l'offre), vergers vieillissants. Ne pas bâtir le business plan sur un retour à 2 500 USD/t.</w:t>
      </w:r>
    </w:p>
    <w:p>
      <w:pPr>
        <w:spacing w:after="140"/>
      </w:pPr>
      <w:r>
        <w:rPr>
          <w:i w:val="0"/>
        </w:rPr>
        <w:t>Implication : le coût matière a été multiplié par 3–4 au pic et reste durablement élevé. Phénomène documenté : le cacao baisse mais le prix du chocolat continue de monter (répercussion décalée). Recommandation : contrats fournisseurs avec clause d'indexation et marge brute capable d'absorber ±30 %.</w:t>
      </w:r>
    </w:p>
    <w:p>
      <w:pPr>
        <w:pStyle w:val="Heading2"/>
      </w:pPr>
      <w:r>
        <w:t>4.2 Réglementation</w:t>
      </w:r>
    </w:p>
    <w:p>
      <w:pPr>
        <w:pStyle w:val="ListBullet"/>
        <w:spacing w:after="60"/>
      </w:pPr>
      <w:r>
        <w:rPr>
          <w:b/>
        </w:rPr>
        <w:t xml:space="preserve">EUDR (anti-déforestation) : </w:t>
      </w:r>
      <w:r>
        <w:t>application repoussée au 30 décembre 2026 (grandes entreprises) / 30 juin 2027 (micro-entreprises). Cacao et chocolat couverts. En achetant de la couverture, l'essentiel de la charge remonte au fournisseur — mais exiger les attestations de conformité, qui deviennent un argument B2B.</w:t>
      </w:r>
    </w:p>
    <w:p>
      <w:pPr>
        <w:pStyle w:val="ListBullet"/>
        <w:spacing w:after="60"/>
      </w:pPr>
      <w:r>
        <w:rPr>
          <w:b/>
        </w:rPr>
        <w:t xml:space="preserve">Étiquetage (INCO 1169/2011) : </w:t>
      </w:r>
      <w:r>
        <w:t>dénomination, % cacao, allergènes (y compris en vente vrac), valeurs nutritionnelles.</w:t>
      </w:r>
    </w:p>
    <w:p>
      <w:pPr>
        <w:pStyle w:val="ListBullet"/>
        <w:spacing w:after="60"/>
      </w:pPr>
      <w:r>
        <w:rPr>
          <w:b/>
        </w:rPr>
        <w:t xml:space="preserve">Hygiène : </w:t>
      </w:r>
      <w:r>
        <w:t>HACCP / Plan de Maîtrise Sanitaire obligatoire (Règl. 852/2004).</w:t>
      </w:r>
    </w:p>
    <w:p>
      <w:pPr>
        <w:pStyle w:val="Heading2"/>
      </w:pPr>
      <w:r>
        <w:t>4.3 Risques business</w:t>
      </w:r>
    </w:p>
    <w:p>
      <w:pPr>
        <w:pStyle w:val="ListBullet"/>
        <w:spacing w:after="60"/>
      </w:pPr>
      <w:r>
        <w:rPr>
          <w:b/>
        </w:rPr>
        <w:t xml:space="preserve">Immobilier Paris : </w:t>
      </w:r>
      <w:r>
        <w:t>loyer commercial moyen ~563 €/m²/an, mais artères prestige jusqu'à 12 000 €/m²/an (rue Saint-Honoré). Plus gros poste fixe — arbitrer artère premium vs quartier de destination + e-commerce.</w:t>
      </w:r>
    </w:p>
    <w:p>
      <w:pPr>
        <w:pStyle w:val="ListBullet"/>
        <w:spacing w:after="60"/>
      </w:pPr>
      <w:r>
        <w:rPr>
          <w:b/>
        </w:rPr>
        <w:t xml:space="preserve">Main d'œuvre : </w:t>
      </w:r>
      <w:r>
        <w:t>tension chronique sur les chocolatiers qualifiés. Anticiper salaires, apprentissage (CAP), fidélisation.</w:t>
      </w:r>
    </w:p>
    <w:p>
      <w:pPr>
        <w:pStyle w:val="ListBullet"/>
        <w:spacing w:after="60"/>
      </w:pPr>
      <w:r>
        <w:rPr>
          <w:b/>
        </w:rPr>
        <w:t xml:space="preserve">Saisonnalité &amp; chaîne du froid : </w:t>
      </w:r>
      <w:r>
        <w:t>le chocolat fond &gt; 30 °C ; l'été parisien met l'e-commerce quasi à l'arrêt (packs réfrigérants, express). Trésorerie à sécuriser sur les mois creux.</w:t>
      </w:r>
    </w:p>
    <w:p>
      <w:pPr>
        <w:pStyle w:val="ListBullet"/>
        <w:spacing w:after="60"/>
      </w:pPr>
      <w:r>
        <w:rPr>
          <w:b/>
        </w:rPr>
        <w:t xml:space="preserve">Concurrence : </w:t>
      </w:r>
      <w:r>
        <w:t>Paris saturé de maisons établies — différenciation indispensable.</w:t>
      </w:r>
    </w:p>
    <w:p>
      <w:pPr>
        <w:pStyle w:val="Heading2"/>
      </w:pPr>
      <w:r>
        <w:t>4.4 Tendances porteuses</w:t>
      </w:r>
    </w:p>
    <w:p>
      <w:pPr>
        <w:pStyle w:val="ListBullet"/>
        <w:spacing w:after="60"/>
      </w:pPr>
      <w:r>
        <w:t>Premiumisation &amp; single-origin : la provenance et la spécificité des fèves justifient le prix.</w:t>
      </w:r>
    </w:p>
    <w:p>
      <w:pPr>
        <w:pStyle w:val="ListBullet"/>
        <w:spacing w:after="60"/>
      </w:pPr>
      <w:r>
        <w:t>Moins de sucre / clean label : 1 consommateur sur 3 privilégie une liste d'ingrédients courte.</w:t>
      </w:r>
    </w:p>
    <w:p>
      <w:pPr>
        <w:pStyle w:val="ListBullet"/>
        <w:spacing w:after="60"/>
      </w:pPr>
      <w:r>
        <w:t>Vegan / plant-based : tendance majeure ; 61 % le choisissent pour l'environnement.</w:t>
      </w:r>
    </w:p>
    <w:p>
      <w:pPr>
        <w:pStyle w:val="ListBullet"/>
        <w:spacing w:after="60"/>
      </w:pPr>
      <w:r>
        <w:t>Expérience &amp; personnalisation : storytelling de marque, atelier, dégustation, « made on site » comme leviers de marge.</w:t>
      </w:r>
    </w:p>
    <w:p>
      <w:r>
        <w:br w:type="page"/>
      </w:r>
    </w:p>
    <w:p>
      <w:pPr>
        <w:pStyle w:val="Heading1"/>
        <w:pBdr>
          <w:bottom w:val="single" w:sz="6" w:space="4" w:color="3B82F6"/>
        </w:pBdr>
      </w:pPr>
      <w:r>
        <w:t>5. Axes de distribution innovants</w:t>
      </w:r>
    </w:p>
    <w:p>
      <w:pPr>
        <w:spacing w:after="200" w:line="300" w:lineRule="auto"/>
      </w:pPr>
      <w:r>
        <w:rPr>
          <w:i/>
          <w:color w:val="595959"/>
          <w:sz w:val="24"/>
        </w:rPr>
        <w:t>Sur un marché parisien saturé en boutiques, la différenciation se joue moins sur le produit que sur la manière de le distribuer. Sept axes, du plus structurant au plus tactique.</w:t>
      </w:r>
    </w:p>
    <w:p>
      <w:pPr>
        <w:spacing w:before="160" w:after="40"/>
      </w:pPr>
      <w:r>
        <w:rPr>
          <w:b/>
          <w:color w:val="1F4E79"/>
          <w:sz w:val="23"/>
        </w:rPr>
        <w:t>1. Atelier-boutique-expérience (flagship vertical)</w:t>
      </w:r>
    </w:p>
    <w:p>
      <w:pPr>
        <w:spacing w:after="140"/>
      </w:pPr>
      <w:r>
        <w:rPr>
          <w:i w:val="0"/>
        </w:rPr>
        <w:t>Faire de la boutique un lieu de fabrication visible : production « live » derrière vitre, dégustation guidée façon œnologie, ateliers payants (corporate, touristes, EVJF). Capte le flux touristique premium, génère un revenu hors-vente et transforme la marge produit en marge expérience. C'est le levier le mieux aligné avec les 22,6 M de touristes internationaux.</w:t>
      </w:r>
    </w:p>
    <w:p>
      <w:pPr>
        <w:spacing w:before="160" w:after="40"/>
      </w:pPr>
      <w:r>
        <w:rPr>
          <w:b/>
          <w:color w:val="1F4E79"/>
          <w:sz w:val="23"/>
        </w:rPr>
        <w:t>2. B2B haut de gamme &amp; corporate gifting</w:t>
      </w:r>
    </w:p>
    <w:p>
      <w:pPr>
        <w:spacing w:after="140"/>
      </w:pPr>
      <w:r>
        <w:rPr>
          <w:i w:val="0"/>
        </w:rPr>
        <w:t>Coffrets de marque pour entreprises (cadeaux clients, séminaires, fêtes de fin d'année), hôtellerie de luxe et restauration étoilée (chocolats de fin de repas en marque blanche ou co-brandés). Revenu récurrent, gros volumes, lissage de la saisonnalité, et faible coût d'acquisition via le réseau BubbleStone.</w:t>
      </w:r>
    </w:p>
    <w:p>
      <w:pPr>
        <w:spacing w:before="160" w:after="40"/>
      </w:pPr>
      <w:r>
        <w:rPr>
          <w:b/>
          <w:color w:val="1F4E79"/>
          <w:sz w:val="23"/>
        </w:rPr>
        <w:t>3. Abonnement &amp; box single-origin</w:t>
      </w:r>
    </w:p>
    <w:p>
      <w:pPr>
        <w:spacing w:after="140"/>
      </w:pPr>
      <w:r>
        <w:rPr>
          <w:i w:val="0"/>
        </w:rPr>
        <w:t>Abonnement mensuel « découverte d'origines » (un terroir / une fève par mois, avec carte de traçabilité et récit du planteur). Crée un revenu récurrent prévisible, fidélise, et lisse la trésorerie sur les mois creux — la réponse directe au risque de saisonnalité.</w:t>
      </w:r>
    </w:p>
    <w:p>
      <w:pPr>
        <w:spacing w:before="160" w:after="40"/>
      </w:pPr>
      <w:r>
        <w:rPr>
          <w:b/>
          <w:color w:val="1F4E79"/>
          <w:sz w:val="23"/>
        </w:rPr>
        <w:t>4. Corner &amp; shop-in-shop premium</w:t>
      </w:r>
    </w:p>
    <w:p>
      <w:pPr>
        <w:spacing w:after="140"/>
      </w:pPr>
      <w:r>
        <w:rPr>
          <w:i w:val="0"/>
        </w:rPr>
        <w:t>Plutôt qu'un loyer prime à 12 000 €/m²/an, s'implanter en corner dans les lieux à fort trafic qualifié : grands magasins (Galeries Lafayette, Bon Marché, Grande Épicerie), hôtels palaces, épiceries fines, concept stores. Visibilité premium sans le risque immobilier d'un flagship en propre.</w:t>
      </w:r>
    </w:p>
    <w:p>
      <w:pPr>
        <w:spacing w:before="160" w:after="40"/>
      </w:pPr>
      <w:r>
        <w:rPr>
          <w:b/>
          <w:color w:val="1F4E79"/>
          <w:sz w:val="23"/>
        </w:rPr>
        <w:t>5. Phygital &amp; click-and-collect express</w:t>
      </w:r>
    </w:p>
    <w:p>
      <w:pPr>
        <w:spacing w:after="140"/>
      </w:pPr>
      <w:r>
        <w:rPr>
          <w:i w:val="0"/>
        </w:rPr>
        <w:t>E-commerce avec retrait en boutique, et livraison parisienne sous température dirigée (créneaux courts, suspendue en canicule). Carte de traçabilité par lot accessible via QR code — la conformité EUDR devient un outil marketing. Vente fermée l'été compensée par des produits « résistants chaleur » (tablettes, dragées, ganaches enrobées).</w:t>
      </w:r>
    </w:p>
    <w:p>
      <w:pPr>
        <w:spacing w:before="160" w:after="40"/>
      </w:pPr>
      <w:r>
        <w:rPr>
          <w:b/>
          <w:color w:val="1F4E79"/>
          <w:sz w:val="23"/>
        </w:rPr>
        <w:t>6. Collaborations &amp; éditions limitées</w:t>
      </w:r>
    </w:p>
    <w:p>
      <w:pPr>
        <w:spacing w:after="140"/>
      </w:pPr>
      <w:r>
        <w:rPr>
          <w:i w:val="0"/>
        </w:rPr>
        <w:t>Co-créations avec chefs étoilés, marques de luxe, maisons de spiritueux ou artistes (cacao + accords). Drops en édition limitée, logique de rareté et de désirabilité, fort potentiel earned media et réseaux sociaux. Faible coût, forte visibilité.</w:t>
      </w:r>
    </w:p>
    <w:p>
      <w:pPr>
        <w:spacing w:before="160" w:after="40"/>
      </w:pPr>
      <w:r>
        <w:rPr>
          <w:b/>
          <w:color w:val="1F4E79"/>
          <w:sz w:val="23"/>
        </w:rPr>
        <w:t>7. Distribution sélective internationale &amp; duty-free</w:t>
      </w:r>
    </w:p>
    <w:p>
      <w:pPr>
        <w:spacing w:after="140"/>
      </w:pPr>
      <w:r>
        <w:rPr>
          <w:i w:val="0"/>
        </w:rPr>
        <w:t>À moyen terme : capter le pouvoir d'achat touristique au-delà de la boutique via le travel retail (duty-free des aéroports parisiens) et l'export sélectif (Japon, Moyen-Orient, où le chocolat français premium se vend cher). Marges élevées, volumes concentrés.</w:t>
      </w:r>
    </w:p>
    <w:p>
      <w:pPr>
        <w:pStyle w:val="Heading2"/>
      </w:pPr>
      <w:r>
        <w:t>Priorisation suggérée</w:t>
      </w:r>
    </w:p>
    <w:p>
      <w:pPr>
        <w:spacing w:after="140"/>
      </w:pPr>
      <w:r>
        <w:rPr>
          <w:i w:val="0"/>
        </w:rPr>
        <w:t>À l'ouverture : axes 1 (atelier-boutique), 5 (phygital) et 2 (B2B/corporate) — ils sécurisent revenu récurrent et trésorerie dès le départ. En montée en puissance : 3 (abonnement) et 4 (corners) pour étendre la distribution sans CAPEX immobilier. En maturité : 6 (collaborations) et 7 (export/duty-free) pour la marge et la notoriété.</w:t>
      </w:r>
    </w:p>
    <w:p>
      <w:r>
        <w:br w:type="page"/>
      </w:r>
    </w:p>
    <w:p>
      <w:pPr>
        <w:pStyle w:val="Heading1"/>
        <w:pBdr>
          <w:bottom w:val="single" w:sz="6" w:space="4" w:color="3B82F6"/>
        </w:pBdr>
      </w:pPr>
      <w:r>
        <w:t>6. Recommandations &amp; prochaines étapes</w:t>
      </w:r>
    </w:p>
    <w:p>
      <w:pPr>
        <w:pStyle w:val="ListBullet"/>
        <w:spacing w:after="60"/>
      </w:pPr>
      <w:r>
        <w:rPr>
          <w:b/>
        </w:rPr>
        <w:t xml:space="preserve">Positionnement : </w:t>
      </w:r>
      <w:r>
        <w:t>bean-to-bar traçable à exécution « luxe », single-origin + ligne moins sucrée/vegan, en captant le flux touristique premium. C'est l'espace blanc entre maisons de luxe opaques et craft confidentiels.</w:t>
      </w:r>
    </w:p>
    <w:p>
      <w:pPr>
        <w:pStyle w:val="ListBullet"/>
        <w:spacing w:after="60"/>
      </w:pPr>
      <w:r>
        <w:rPr>
          <w:b/>
        </w:rPr>
        <w:t xml:space="preserve">Modèle économique : </w:t>
      </w:r>
      <w:r>
        <w:t>ne pas dépendre de la seule vente boutique saisonnière — combiner atelier-expérience + B2B/corporate + abonnement pour lisser la trésorerie.</w:t>
      </w:r>
    </w:p>
    <w:p>
      <w:pPr>
        <w:pStyle w:val="ListBullet"/>
        <w:spacing w:after="60"/>
      </w:pPr>
      <w:r>
        <w:rPr>
          <w:b/>
        </w:rPr>
        <w:t xml:space="preserve">Achat cacao : </w:t>
      </w:r>
      <w:r>
        <w:t>contrats indexés, marge brute dimensionnée pour ±30 % de volatilité, sourcing direct nommé (argument premium + conformité EUDR anticipée).</w:t>
      </w:r>
    </w:p>
    <w:p>
      <w:pPr>
        <w:pStyle w:val="ListBullet"/>
        <w:spacing w:after="60"/>
      </w:pPr>
      <w:r>
        <w:rPr>
          <w:b/>
        </w:rPr>
        <w:t xml:space="preserve">Données à fiabiliser : </w:t>
      </w:r>
      <w:r>
        <w:t>extraire les CA réels des concurrents via Pappers/Infogreffe (comptes déposés des SAS) ; valider sur le terrain le « 300 artisans à Paris » ; réactualiser le cours du cacao au moment du chiffrage du BP.</w:t>
      </w:r>
    </w:p>
    <w:p>
      <w:pPr>
        <w:pStyle w:val="ListBullet"/>
        <w:spacing w:after="60"/>
      </w:pPr>
      <w:r>
        <w:rPr>
          <w:b/>
        </w:rPr>
        <w:t xml:space="preserve">Prochaine étape : </w:t>
      </w:r>
      <w:r>
        <w:t>transformer cette note en business plan chiffré (P&amp;L, point mort, plan de trésorerie mensuel intégrant la saisonnalité) et en deck investisseurs si levée envisagée.</w:t>
      </w:r>
    </w:p>
    <w:p>
      <w:r>
        <w:br w:type="page"/>
      </w:r>
    </w:p>
    <w:p>
      <w:pPr>
        <w:pStyle w:val="Heading1"/>
        <w:pBdr>
          <w:bottom w:val="single" w:sz="6" w:space="4" w:color="3B82F6"/>
        </w:pBdr>
      </w:pPr>
      <w:r>
        <w:t>Annexe — Sources</w:t>
      </w:r>
    </w:p>
    <w:p>
      <w:pPr>
        <w:spacing w:after="140"/>
      </w:pPr>
      <w:r>
        <w:rPr>
          <w:i/>
          <w:color w:val="595959"/>
          <w:sz w:val="19"/>
        </w:rPr>
        <w:t>Méthodologie : recherche web multi-sources, recoupement systématique. Les chiffres officiels (Syndicat du Chocolat, Visit Paris Region, cours du cacao) sont distingués des estimations de cabinets privés et de la presse.</w:t>
      </w:r>
    </w:p>
    <w:p>
      <w:pPr>
        <w:pStyle w:val="Heading2"/>
      </w:pPr>
      <w:r>
        <w:t>Marché &amp; chiffres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Syndicat du Chocolat — chiffres clés du secteur — </w:t>
      </w:r>
      <w:r>
        <w:rPr>
          <w:i/>
          <w:color w:val="3B82F6"/>
          <w:sz w:val="18"/>
        </w:rPr>
        <w:t>https://www.syndicatduchocolat.fr/les-chiffres-cles-du-secteur/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Visit Paris Region — bilan fréquentation touristique 2024 — </w:t>
      </w:r>
      <w:r>
        <w:rPr>
          <w:i/>
          <w:color w:val="3B82F6"/>
          <w:sz w:val="18"/>
        </w:rPr>
        <w:t>https://pro.visitparisregion.com/presse/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CNews — consommation de chocolat par habitant (avril 2026) — </w:t>
      </w:r>
      <w:r>
        <w:rPr>
          <w:i/>
          <w:color w:val="3B82F6"/>
          <w:sz w:val="18"/>
        </w:rPr>
        <w:t>https://www.cnews.fr/monde/2026-04-09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Businesscoot — marché chocolat &amp; chocolaterie France — </w:t>
      </w:r>
      <w:r>
        <w:rPr>
          <w:i/>
          <w:color w:val="3B82F6"/>
          <w:sz w:val="18"/>
        </w:rPr>
        <w:t>https://www.businesscoot.com/en/study/the-chocolate-and-chocolate-factory-market-france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Market Research Future — luxury chocolate market — </w:t>
      </w:r>
      <w:r>
        <w:rPr>
          <w:i/>
          <w:color w:val="3B82F6"/>
          <w:sz w:val="18"/>
        </w:rPr>
        <w:t>https://www.marketresearchfuture.com/reports/luxury-chocolate-market-30549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Mordor Intelligence — chocolate market — </w:t>
      </w:r>
      <w:r>
        <w:rPr>
          <w:i/>
          <w:color w:val="3B82F6"/>
          <w:sz w:val="18"/>
        </w:rPr>
        <w:t>https://www.mordorintelligence.com/industry-reports/chocolate-market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Salon du Chocolat Paris 2024 — </w:t>
      </w:r>
      <w:r>
        <w:rPr>
          <w:i/>
          <w:color w:val="3B82F6"/>
          <w:sz w:val="18"/>
        </w:rPr>
        <w:t>https://www.exposition-paris.info/salon-du-chocolat-et-de-la-patisserie-paris-2024/</w:t>
      </w:r>
    </w:p>
    <w:p>
      <w:pPr>
        <w:pStyle w:val="Heading2"/>
      </w:pPr>
      <w:r>
        <w:t>Concurrents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Paris Select Book — 15 best artisan chocolatiers (2026) — </w:t>
      </w:r>
      <w:r>
        <w:rPr>
          <w:i/>
          <w:color w:val="3B82F6"/>
          <w:sz w:val="18"/>
        </w:rPr>
        <w:t>https://www.parisselectbook.com/en/2026/04/30/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Les Hardis — chocolatiers de Paris (2024) — </w:t>
      </w:r>
      <w:r>
        <w:rPr>
          <w:i/>
          <w:color w:val="3B82F6"/>
          <w:sz w:val="18"/>
        </w:rPr>
        <w:t>https://www.leshardis.com/2024/03/chocolatiers-paris/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La Maison du Chocolat — boutiques — </w:t>
      </w:r>
      <w:r>
        <w:rPr>
          <w:i/>
          <w:color w:val="3B82F6"/>
          <w:sz w:val="18"/>
        </w:rPr>
        <w:t>https://www.lamaisonduchocolat.com/en_us/our-boutiques-paris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Pierre Marcolini — stores &amp; CA (Businesscoot) — </w:t>
      </w:r>
      <w:r>
        <w:rPr>
          <w:i/>
          <w:color w:val="3B82F6"/>
          <w:sz w:val="18"/>
        </w:rPr>
        <w:t>https://www.businesscoot.com/en/company/pierre-marcolini-chocolatier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Jean-Paul Hévin — boutiques — </w:t>
      </w:r>
      <w:r>
        <w:rPr>
          <w:i/>
          <w:color w:val="3B82F6"/>
          <w:sz w:val="18"/>
        </w:rPr>
        <w:t>https://www.jeanpaulhevin.com/nos-boutiques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Le Chocolat Alain Ducasse — Manufacture — </w:t>
      </w:r>
      <w:r>
        <w:rPr>
          <w:i/>
          <w:color w:val="3B82F6"/>
          <w:sz w:val="18"/>
        </w:rPr>
        <w:t>https://www.ducasse-paris.com/nos-adresses/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PLAQ — collections — </w:t>
      </w:r>
      <w:r>
        <w:rPr>
          <w:i/>
          <w:color w:val="3B82F6"/>
          <w:sz w:val="18"/>
        </w:rPr>
        <w:t>https://plaqchocolat.com/en/collections/les-plaq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Portail du chocolat — MOF chocolatiers — </w:t>
      </w:r>
      <w:r>
        <w:rPr>
          <w:i/>
          <w:color w:val="3B82F6"/>
          <w:sz w:val="18"/>
        </w:rPr>
        <w:t>https://www.portail-du-chocolat.fr/guides/mof/</w:t>
      </w:r>
    </w:p>
    <w:p>
      <w:pPr>
        <w:pStyle w:val="Heading2"/>
      </w:pPr>
      <w:r>
        <w:t>Risques, cacao &amp; réglementation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Trading Economics — cours du cacao — </w:t>
      </w:r>
      <w:r>
        <w:rPr>
          <w:i/>
          <w:color w:val="3B82F6"/>
          <w:sz w:val="18"/>
        </w:rPr>
        <w:t>https://tradingeconomics.com/commodity/cocoa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Food Additives Asia — Cocoa Price Outlook 2026 — </w:t>
      </w:r>
      <w:r>
        <w:rPr>
          <w:i/>
          <w:color w:val="3B82F6"/>
          <w:sz w:val="18"/>
        </w:rPr>
        <w:t>https://www.foodadditivesasia.com/en/market-insights/pricing-indices/cocoa-price-outlook-2026-supply-recovery-climate-risk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Cocoa Runners — cocoa prices 2026 update — </w:t>
      </w:r>
      <w:r>
        <w:rPr>
          <w:i/>
          <w:color w:val="3B82F6"/>
          <w:sz w:val="18"/>
        </w:rPr>
        <w:t>https://cocoarunners.com/blog/cocoa-prices-2026-update/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CNBC — cocoa record (déc. 2024) — </w:t>
      </w:r>
      <w:r>
        <w:rPr>
          <w:i/>
          <w:color w:val="3B82F6"/>
          <w:sz w:val="18"/>
        </w:rPr>
        <w:t>https://www.cnbc.com/2024/12/17/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Conseil de l'UE — report EUDR (déc. 2025) — </w:t>
      </w:r>
      <w:r>
        <w:rPr>
          <w:i/>
          <w:color w:val="3B82F6"/>
          <w:sz w:val="18"/>
        </w:rPr>
        <w:t>https://www.consilium.europa.eu/en/press/press-releases/2025/12/18/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Commission EU — EUDR délai déc. 2026 — </w:t>
      </w:r>
      <w:r>
        <w:rPr>
          <w:i/>
          <w:color w:val="3B82F6"/>
          <w:sz w:val="18"/>
        </w:rPr>
        <w:t>https://trade.ec.europa.eu/access-to-markets/en/news/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DGCCRF — étiquetage des denrées alimentaires — </w:t>
      </w:r>
      <w:r>
        <w:rPr>
          <w:i/>
          <w:color w:val="3B82F6"/>
          <w:sz w:val="18"/>
        </w:rPr>
        <w:t>https://www.economie.gouv.fr/dgccrf/les-fiches-pratiques/etiquetage-des-denrees-alimentaires-les-regles-connaitre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Barry Callebaut — top chocolate trends 2026 — </w:t>
      </w:r>
      <w:r>
        <w:rPr>
          <w:i/>
          <w:color w:val="3B82F6"/>
          <w:sz w:val="18"/>
        </w:rPr>
        <w:t>https://www.barry-callebaut.com/en-US/trends-insights/top-chocolate-trends</w:t>
      </w:r>
    </w:p>
    <w:p>
      <w:pPr>
        <w:spacing w:after="40"/>
      </w:pPr>
      <w:r>
        <w:rPr>
          <w:color w:val="3B82F6"/>
          <w:sz w:val="19"/>
        </w:rPr>
        <w:t xml:space="preserve">• </w:t>
      </w:r>
      <w:r>
        <w:rPr>
          <w:sz w:val="19"/>
        </w:rPr>
        <w:t xml:space="preserve">ISM Infométiers — emploi métiers de bouche 2019-2024 — </w:t>
      </w:r>
      <w:r>
        <w:rPr>
          <w:i/>
          <w:color w:val="3B82F6"/>
          <w:sz w:val="18"/>
        </w:rPr>
        <w:t>https://infometiers.org/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5959"/>
        <w:sz w:val="16"/>
      </w:rPr>
      <w:t>BubbleStone.ai · Projet chocolaterie premium · Juin 2026 · Confidentiel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Calibri" w:hAnsi="Calibri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F4E79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3333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