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Arial" w:hAnsi="Arial"/>
          <w:b/>
          <w:color w:val="2E75B6"/>
          <w:sz w:val="20"/>
        </w:rPr>
        <w:t>COMPTE-RENDU</w:t>
      </w:r>
    </w:p>
    <w:p>
      <w:r>
        <w:rPr>
          <w:rFonts w:ascii="Arial" w:hAnsi="Arial"/>
          <w:b/>
          <w:color w:val="1E2761"/>
          <w:sz w:val="44"/>
        </w:rPr>
        <w:t>Comité de direction — T3 2025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Date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08/10/2025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Lieu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Siège, Colomiers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Animation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Hélène Cazaux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Présents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H. Cazaux, M. Vidal, S. Reynaud, T. Albert, K. Benali, J. Marchand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Prochain CODIR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14/01/2026</w:t>
            </w:r>
          </w:p>
        </w:tc>
      </w:tr>
    </w:tbl>
    <w:p/>
    <w:p>
      <w:pPr>
        <w:pStyle w:val="Heading1"/>
      </w:pPr>
      <w:r>
        <w:t>1. Résultats commerciaux T3</w:t>
      </w:r>
    </w:p>
    <w:p>
      <w:r>
        <w:rPr>
          <w:rFonts w:ascii="Arial" w:hAnsi="Arial"/>
          <w:b w:val="0"/>
          <w:i w:val="0"/>
          <w:sz w:val="22"/>
        </w:rPr>
        <w:t>Le cumul à fin septembre s'établit à 4 069 k€, en progression de 7 % sur un an. Le mois de septembre (553 k€) marque la reprise après le creux estival (août à 389 k€). Les vins (28 % du CA) et les conserves (23 %) restent les moteurs ; les fromages confirment leur montée (+12 %).</w:t>
      </w:r>
    </w:p>
    <w:p>
      <w:r>
        <w:rPr>
          <w:rFonts w:ascii="Arial" w:hAnsi="Arial"/>
          <w:b w:val="0"/>
          <w:i w:val="0"/>
          <w:sz w:val="22"/>
        </w:rPr>
        <w:t>Le compte Groupe Hôtelier Pyrène reste le premier client (845 k€ en année pleine projetée) mais son encours (71,5 k€) et son délai de paiement à 45 jours pèsent sur la trésorerie.</w:t>
      </w:r>
    </w:p>
    <w:p>
      <w:pPr>
        <w:pStyle w:val="Heading1"/>
      </w:pPr>
      <w:r>
        <w:t>2. Finances &amp; trésorerie</w:t>
      </w:r>
    </w:p>
    <w:p>
      <w:pPr>
        <w:pStyle w:val="ListBullet"/>
      </w:pPr>
      <w:r>
        <w:rPr>
          <w:rFonts w:ascii="Arial" w:hAnsi="Arial"/>
          <w:sz w:val="22"/>
        </w:rPr>
        <w:t>Marge brute consolidée à 32,2 %, conforme au budget.</w:t>
      </w:r>
    </w:p>
    <w:p>
      <w:pPr>
        <w:pStyle w:val="ListBullet"/>
      </w:pPr>
      <w:r>
        <w:rPr>
          <w:rFonts w:ascii="Arial" w:hAnsi="Arial"/>
          <w:sz w:val="22"/>
        </w:rPr>
        <w:t>DSO ramené de 58 à 52 jours grâce aux relances ; objectif 45 jours maintenu.</w:t>
      </w:r>
    </w:p>
    <w:p>
      <w:pPr>
        <w:pStyle w:val="ListBullet"/>
      </w:pPr>
      <w:r>
        <w:rPr>
          <w:rFonts w:ascii="Arial" w:hAnsi="Arial"/>
          <w:sz w:val="22"/>
        </w:rPr>
        <w:t>EBE projeté 2025 : 384 k€ (vs 318 k€ en 2024).</w:t>
      </w:r>
    </w:p>
    <w:p>
      <w:pPr>
        <w:pStyle w:val="ListBullet"/>
      </w:pPr>
      <w:r>
        <w:rPr>
          <w:rFonts w:ascii="Arial" w:hAnsi="Arial"/>
          <w:sz w:val="22"/>
        </w:rPr>
        <w:t>Point d'attention : encours total clients de 171 k€, dont 116 k€ sur trois comptes (Pyrène, Épicentre, Garde-Manger).</w:t>
      </w:r>
    </w:p>
    <w:p>
      <w:pPr>
        <w:pStyle w:val="Heading1"/>
      </w:pPr>
      <w:r>
        <w:t>3. Logistique &amp; qualité</w:t>
      </w:r>
    </w:p>
    <w:p>
      <w:r>
        <w:rPr>
          <w:rFonts w:ascii="Arial" w:hAnsi="Arial"/>
          <w:b w:val="0"/>
          <w:i w:val="0"/>
          <w:sz w:val="22"/>
        </w:rPr>
        <w:t>Taux de service à 96,2 %. Trois ruptures ponctuelles sur le safran (FO-06) liées à la saisonnalité de la récolte. Le projet ERP &amp; refonte logistique (PRJ-2026-LOG) est validé pour un démarrage en janvier 2026, budget 160 k€.</w:t>
      </w:r>
    </w:p>
    <w:p>
      <w:pPr>
        <w:pStyle w:val="Heading1"/>
      </w:pPr>
      <w:r>
        <w:t>4. Ressources humaines</w:t>
      </w:r>
    </w:p>
    <w:p>
      <w:r>
        <w:rPr>
          <w:rFonts w:ascii="Arial" w:hAnsi="Arial"/>
          <w:b w:val="0"/>
          <w:i w:val="0"/>
          <w:sz w:val="22"/>
        </w:rPr>
        <w:t>Effectif à 23 ETP. Recrutement d'un commercial sédentaire validé pour janvier. La nouvelle politique de télétravail (2 jours/semaine pour les fonctions support) entre en vigueur au 1er décembre.</w:t>
      </w:r>
    </w:p>
    <w:p>
      <w:pPr>
        <w:pStyle w:val="Heading1"/>
      </w:pPr>
      <w:r>
        <w:t>5. Décisions et actions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4535"/>
          </w:tcPr>
          <w:p>
            <w:r>
              <w:rPr>
                <w:rFonts w:ascii="Arial" w:hAnsi="Arial"/>
                <w:b/>
                <w:sz w:val="18"/>
              </w:rPr>
              <w:t>Action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b/>
                <w:sz w:val="18"/>
              </w:rPr>
              <w:t>Responsable</w:t>
            </w:r>
          </w:p>
        </w:tc>
        <w:tc>
          <w:tcPr>
            <w:tcW w:type="dxa" w:w="1984"/>
          </w:tcPr>
          <w:p>
            <w:r>
              <w:rPr>
                <w:rFonts w:ascii="Arial" w:hAnsi="Arial"/>
                <w:b/>
                <w:sz w:val="18"/>
              </w:rPr>
              <w:t>Échéance</w:t>
            </w:r>
          </w:p>
        </w:tc>
      </w:tr>
      <w:tr>
        <w:tc>
          <w:tcPr>
            <w:tcW w:type="dxa" w:w="4535"/>
          </w:tcPr>
          <w:p>
            <w:r>
              <w:rPr>
                <w:rFonts w:ascii="Arial" w:hAnsi="Arial"/>
                <w:sz w:val="18"/>
              </w:rPr>
              <w:t>Lancer l'appel d'offres ERP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T. Albert</w:t>
            </w:r>
          </w:p>
        </w:tc>
        <w:tc>
          <w:tcPr>
            <w:tcW w:type="dxa" w:w="1984"/>
          </w:tcPr>
          <w:p>
            <w:r>
              <w:rPr>
                <w:rFonts w:ascii="Arial" w:hAnsi="Arial"/>
                <w:sz w:val="18"/>
              </w:rPr>
              <w:t>31/01/2026</w:t>
            </w:r>
          </w:p>
        </w:tc>
      </w:tr>
      <w:tr>
        <w:tc>
          <w:tcPr>
            <w:tcW w:type="dxa" w:w="4535"/>
          </w:tcPr>
          <w:p>
            <w:r>
              <w:rPr>
                <w:rFonts w:ascii="Arial" w:hAnsi="Arial"/>
                <w:sz w:val="18"/>
              </w:rPr>
              <w:t>Plan de réduction de l'encours Pyrène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S. Reynaud</w:t>
            </w:r>
          </w:p>
        </w:tc>
        <w:tc>
          <w:tcPr>
            <w:tcW w:type="dxa" w:w="1984"/>
          </w:tcPr>
          <w:p>
            <w:r>
              <w:rPr>
                <w:rFonts w:ascii="Arial" w:hAnsi="Arial"/>
                <w:sz w:val="18"/>
              </w:rPr>
              <w:t>30/11/2025</w:t>
            </w:r>
          </w:p>
        </w:tc>
      </w:tr>
      <w:tr>
        <w:tc>
          <w:tcPr>
            <w:tcW w:type="dxa" w:w="4535"/>
          </w:tcPr>
          <w:p>
            <w:r>
              <w:rPr>
                <w:rFonts w:ascii="Arial" w:hAnsi="Arial"/>
                <w:sz w:val="18"/>
              </w:rPr>
              <w:t>Recrutement commercial sédentaire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J. Marchand</w:t>
            </w:r>
          </w:p>
        </w:tc>
        <w:tc>
          <w:tcPr>
            <w:tcW w:type="dxa" w:w="1984"/>
          </w:tcPr>
          <w:p>
            <w:r>
              <w:rPr>
                <w:rFonts w:ascii="Arial" w:hAnsi="Arial"/>
                <w:sz w:val="18"/>
              </w:rPr>
              <w:t>15/01/2026</w:t>
            </w:r>
          </w:p>
        </w:tc>
      </w:tr>
      <w:tr>
        <w:tc>
          <w:tcPr>
            <w:tcW w:type="dxa" w:w="4535"/>
          </w:tcPr>
          <w:p>
            <w:r>
              <w:rPr>
                <w:rFonts w:ascii="Arial" w:hAnsi="Arial"/>
                <w:sz w:val="18"/>
              </w:rPr>
              <w:t>Sécuriser l'approvisionnement safran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K. Benali</w:t>
            </w:r>
          </w:p>
        </w:tc>
        <w:tc>
          <w:tcPr>
            <w:tcW w:type="dxa" w:w="1984"/>
          </w:tcPr>
          <w:p>
            <w:r>
              <w:rPr>
                <w:rFonts w:ascii="Arial" w:hAnsi="Arial"/>
                <w:sz w:val="18"/>
              </w:rPr>
              <w:t>31/12/2025</w:t>
            </w:r>
          </w:p>
        </w:tc>
      </w:tr>
      <w:tr>
        <w:tc>
          <w:tcPr>
            <w:tcW w:type="dxa" w:w="4535"/>
          </w:tcPr>
          <w:p>
            <w:r>
              <w:rPr>
                <w:rFonts w:ascii="Arial" w:hAnsi="Arial"/>
                <w:sz w:val="18"/>
              </w:rPr>
              <w:t>Finaliser le plan d'action commercial 2026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M. Vidal</w:t>
            </w:r>
          </w:p>
        </w:tc>
        <w:tc>
          <w:tcPr>
            <w:tcW w:type="dxa" w:w="1984"/>
          </w:tcPr>
          <w:p>
            <w:r>
              <w:rPr>
                <w:rFonts w:ascii="Arial" w:hAnsi="Arial"/>
                <w:sz w:val="18"/>
              </w:rPr>
              <w:t>15/12/2025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247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808080"/>
        <w:sz w:val="16"/>
      </w:rPr>
      <w:t>Document interne — usage de formation  |  12 rue de l'Industrie, ZA En Jacca, 31770 Colomiers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/>
        <w:color w:val="808080"/>
        <w:sz w:val="16"/>
      </w:rPr>
      <w:t>Maison Cazaux  —  Cazaux &amp; Fils Distribution SAS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E276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E276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E2761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2CA884FA57F946BB47D141BA734ECC" ma:contentTypeVersion="3" ma:contentTypeDescription="Create a new document." ma:contentTypeScope="" ma:versionID="c9550a46b6b258a305ad609ea7b1e6bd">
  <xsd:schema xmlns:xsd="http://www.w3.org/2001/XMLSchema" xmlns:xs="http://www.w3.org/2001/XMLSchema" xmlns:p="http://schemas.microsoft.com/office/2006/metadata/properties" xmlns:ns2="b166b0b9-3d01-4d5c-8ffe-6bdae0fbc771" targetNamespace="http://schemas.microsoft.com/office/2006/metadata/properties" ma:root="true" ma:fieldsID="b55786e975b4babda38bf4402ab570c0" ns2:_="">
    <xsd:import namespace="b166b0b9-3d01-4d5c-8ffe-6bdae0fbc7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66b0b9-3d01-4d5c-8ffe-6bdae0fbc7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F74BCD-F56C-4683-BEE0-6BB98CE74A4A}"/>
</file>

<file path=customXml/itemProps3.xml><?xml version="1.0" encoding="utf-8"?>
<ds:datastoreItem xmlns:ds="http://schemas.openxmlformats.org/officeDocument/2006/customXml" ds:itemID="{058A4DCF-B8D1-4B45-9A74-30713CDB3F99}"/>
</file>

<file path=customXml/itemProps4.xml><?xml version="1.0" encoding="utf-8"?>
<ds:datastoreItem xmlns:ds="http://schemas.openxmlformats.org/officeDocument/2006/customXml" ds:itemID="{CA4A1130-3060-4783-80F1-389E0F24F8D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0x0101008E2CA884FA57F946BB47D141BA734ECC</vt:lpwstr>
  </property>
</Properties>
</file>