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NOTE DE CADRAGE — PROJET</w:t>
      </w:r>
    </w:p>
    <w:p>
      <w:r>
        <w:rPr>
          <w:rFonts w:ascii="Arial" w:hAnsi="Arial"/>
          <w:b/>
          <w:color w:val="1E2761"/>
          <w:sz w:val="44"/>
        </w:rPr>
        <w:t>ERP &amp; refonte logistique 2026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Réf. projet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PRJ-2026-LOG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Sponsor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Hélène Cazaux (Présidente)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Chef de projet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Thomas Albert (Responsable logistique)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14/11/2025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1.2 — Validée en CODIR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Diffusion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Comité de direction</w:t>
            </w:r>
          </w:p>
        </w:tc>
      </w:tr>
    </w:tbl>
    <w:p/>
    <w:p>
      <w:pPr>
        <w:pStyle w:val="Heading1"/>
      </w:pPr>
      <w:r>
        <w:t>1. Contexte et enjeux</w:t>
      </w:r>
    </w:p>
    <w:p>
      <w:r>
        <w:rPr>
          <w:rFonts w:ascii="Arial" w:hAnsi="Arial"/>
          <w:b w:val="0"/>
          <w:i w:val="0"/>
          <w:sz w:val="22"/>
        </w:rPr>
        <w:t>Maison Cazaux a réalisé un chiffre d'affaires de 6 200 000 € en 2025 (+8,0 % vs 2024), avec un objectif de 6 700 000 € en 2026. La croissance du nombre de références (18 produits actifs, 6 fournisseurs régionaux) et l'élargissement de la clientèle B2B (8 comptes actifs, dont la chaîne Épicentre) saturent les outils actuels.</w:t>
      </w:r>
    </w:p>
    <w:p>
      <w:r>
        <w:rPr>
          <w:rFonts w:ascii="Arial" w:hAnsi="Arial"/>
          <w:b w:val="0"/>
          <w:i w:val="0"/>
          <w:sz w:val="22"/>
        </w:rPr>
        <w:t>Le pilotage logistique repose aujourd'hui sur des tableurs Excel non connectés au logiciel de facturation. Cela génère des ruptures (taux de service 96,2 % vs cible 97,5 %), une rotation de stock perfectible (41 jours) et des saisies en double.</w:t>
      </w:r>
    </w:p>
    <w:p>
      <w:pPr>
        <w:pStyle w:val="Heading1"/>
      </w:pPr>
      <w:r>
        <w:t>2. Objectifs du projet</w:t>
      </w:r>
    </w:p>
    <w:p>
      <w:pPr>
        <w:pStyle w:val="ListBullet"/>
      </w:pPr>
      <w:r>
        <w:rPr>
          <w:rFonts w:ascii="Arial" w:hAnsi="Arial"/>
          <w:sz w:val="22"/>
        </w:rPr>
        <w:t>Déployer un ERP intégrant achats, stocks, ventes et facturation d'ici le T4 2026.</w:t>
      </w:r>
    </w:p>
    <w:p>
      <w:pPr>
        <w:pStyle w:val="ListBullet"/>
      </w:pPr>
      <w:r>
        <w:rPr>
          <w:rFonts w:ascii="Arial" w:hAnsi="Arial"/>
          <w:sz w:val="22"/>
        </w:rPr>
        <w:t>Réduire le délai de rotation des stocks de 41 à 38 jours.</w:t>
      </w:r>
    </w:p>
    <w:p>
      <w:pPr>
        <w:pStyle w:val="ListBullet"/>
      </w:pPr>
      <w:r>
        <w:rPr>
          <w:rFonts w:ascii="Arial" w:hAnsi="Arial"/>
          <w:sz w:val="22"/>
        </w:rPr>
        <w:t>Porter le taux de service de 96,2 % à 97,5 %.</w:t>
      </w:r>
    </w:p>
    <w:p>
      <w:pPr>
        <w:pStyle w:val="ListBullet"/>
      </w:pPr>
      <w:r>
        <w:rPr>
          <w:rFonts w:ascii="Arial" w:hAnsi="Arial"/>
          <w:sz w:val="22"/>
        </w:rPr>
        <w:t>Automatiser la préparation de commandes sur la plateforme de Colomiers.</w:t>
      </w:r>
    </w:p>
    <w:p>
      <w:pPr>
        <w:pStyle w:val="ListBullet"/>
      </w:pPr>
      <w:r>
        <w:rPr>
          <w:rFonts w:ascii="Arial" w:hAnsi="Arial"/>
          <w:sz w:val="22"/>
        </w:rPr>
        <w:t>Réduire le DSO de 52 à 45 jours via la relance automatisée.</w:t>
      </w:r>
    </w:p>
    <w:p>
      <w:pPr>
        <w:pStyle w:val="Heading1"/>
      </w:pPr>
      <w:r>
        <w:t>3. Périmètre</w:t>
      </w:r>
    </w:p>
    <w:p>
      <w:r>
        <w:rPr>
          <w:rFonts w:ascii="Arial" w:hAnsi="Arial"/>
          <w:b w:val="0"/>
          <w:i w:val="0"/>
          <w:sz w:val="22"/>
        </w:rPr>
        <w:t>Inclus : gestion des achats fournisseurs, gestion des stocks et réception, prise de commande client, facturation, reporting. Exclu : refonte du site e-commerce (phase 2, 2027), paie.</w:t>
      </w:r>
    </w:p>
    <w:p>
      <w:pPr>
        <w:pStyle w:val="Heading1"/>
      </w:pPr>
      <w:r>
        <w:t>4. Planning prévisionnel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551"/>
          </w:tcPr>
          <w:p>
            <w:r>
              <w:rPr>
                <w:rFonts w:ascii="Arial" w:hAnsi="Arial"/>
                <w:b/>
                <w:sz w:val="18"/>
              </w:rPr>
              <w:t>Phase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b/>
                <w:sz w:val="18"/>
              </w:rPr>
              <w:t>Livrable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Période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Responsable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Cadrage &amp; choix de l'éditeur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Cahier des charges + short-list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Janv. – Févr. 2026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Thomas Albert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Paramétrage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Environnement de recette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Mars – Juin 2026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Éditeur + T. Albert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Reprise des données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Référentiels clients/produits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Juil. – Août 2026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Sophie Reynaud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Formation &amp; bascule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Go-live plateforme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Sept. – Oct. 2026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Équipe projet</w:t>
            </w:r>
          </w:p>
        </w:tc>
      </w:tr>
      <w:tr>
        <w:tc>
          <w:tcPr>
            <w:tcW w:type="dxa" w:w="2551"/>
          </w:tcPr>
          <w:p>
            <w:r>
              <w:rPr>
                <w:rFonts w:ascii="Arial" w:hAnsi="Arial"/>
                <w:sz w:val="18"/>
              </w:rPr>
              <w:t>Stabilisation</w:t>
            </w:r>
          </w:p>
        </w:tc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Bilan post-déploiement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Nov. – Déc. 2026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Thomas Albert</w:t>
            </w:r>
          </w:p>
        </w:tc>
      </w:tr>
    </w:tbl>
    <w:p>
      <w:pPr>
        <w:pStyle w:val="Heading1"/>
      </w:pPr>
      <w:r>
        <w:t>5. Budget estimé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5669"/>
          </w:tcPr>
          <w:p>
            <w:r>
              <w:rPr>
                <w:rFonts w:ascii="Arial" w:hAnsi="Arial"/>
                <w:b/>
                <w:sz w:val="18"/>
              </w:rPr>
              <w:t>Poste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Montant HT</w:t>
            </w:r>
          </w:p>
        </w:tc>
      </w:tr>
      <w:tr>
        <w:tc>
          <w:tcPr>
            <w:tcW w:type="dxa" w:w="5669"/>
          </w:tcPr>
          <w:p>
            <w:r>
              <w:rPr>
                <w:rFonts w:ascii="Arial" w:hAnsi="Arial"/>
                <w:sz w:val="18"/>
              </w:rPr>
              <w:t>Licences ERP (3 ans)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72 000 €</w:t>
            </w:r>
          </w:p>
        </w:tc>
      </w:tr>
      <w:tr>
        <w:tc>
          <w:tcPr>
            <w:tcW w:type="dxa" w:w="5669"/>
          </w:tcPr>
          <w:p>
            <w:r>
              <w:rPr>
                <w:rFonts w:ascii="Arial" w:hAnsi="Arial"/>
                <w:sz w:val="18"/>
              </w:rPr>
              <w:t>Intégration &amp; paramétrage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58 000 €</w:t>
            </w:r>
          </w:p>
        </w:tc>
      </w:tr>
      <w:tr>
        <w:tc>
          <w:tcPr>
            <w:tcW w:type="dxa" w:w="5669"/>
          </w:tcPr>
          <w:p>
            <w:r>
              <w:rPr>
                <w:rFonts w:ascii="Arial" w:hAnsi="Arial"/>
                <w:sz w:val="18"/>
              </w:rPr>
              <w:t>Matériel (douchettes, serveur)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21 000 €</w:t>
            </w:r>
          </w:p>
        </w:tc>
      </w:tr>
      <w:tr>
        <w:tc>
          <w:tcPr>
            <w:tcW w:type="dxa" w:w="5669"/>
          </w:tcPr>
          <w:p>
            <w:r>
              <w:rPr>
                <w:rFonts w:ascii="Arial" w:hAnsi="Arial"/>
                <w:sz w:val="18"/>
              </w:rPr>
              <w:t>Formation interne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9 000 €</w:t>
            </w:r>
          </w:p>
        </w:tc>
      </w:tr>
      <w:tr>
        <w:tc>
          <w:tcPr>
            <w:tcW w:type="dxa" w:w="5669"/>
          </w:tcPr>
          <w:p>
            <w:r>
              <w:rPr>
                <w:rFonts w:ascii="Arial" w:hAnsi="Arial"/>
                <w:sz w:val="18"/>
              </w:rPr>
              <w:t>Total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160 000 €</w:t>
            </w:r>
          </w:p>
        </w:tc>
      </w:tr>
    </w:tbl>
    <w:p>
      <w:pPr>
        <w:pStyle w:val="Heading1"/>
      </w:pPr>
      <w:r>
        <w:t>6. Risques identifiés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835"/>
          </w:tcPr>
          <w:p>
            <w:r>
              <w:rPr>
                <w:rFonts w:ascii="Arial" w:hAnsi="Arial"/>
                <w:b/>
                <w:sz w:val="18"/>
              </w:rPr>
              <w:t>Risque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b/>
                <w:sz w:val="18"/>
              </w:rPr>
              <w:t>Impact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b/>
                <w:sz w:val="18"/>
              </w:rPr>
              <w:t>Probabilité</w:t>
            </w:r>
          </w:p>
        </w:tc>
        <w:tc>
          <w:tcPr>
            <w:tcW w:type="dxa" w:w="3118"/>
          </w:tcPr>
          <w:p>
            <w:r>
              <w:rPr>
                <w:rFonts w:ascii="Arial" w:hAnsi="Arial"/>
                <w:b/>
                <w:sz w:val="18"/>
              </w:rPr>
              <w:t>Mitigation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Reprise de données incomplète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Élevé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Moyenne</w:t>
            </w:r>
          </w:p>
        </w:tc>
        <w:tc>
          <w:tcPr>
            <w:tcW w:type="dxa" w:w="3118"/>
          </w:tcPr>
          <w:p>
            <w:r>
              <w:rPr>
                <w:rFonts w:ascii="Arial" w:hAnsi="Arial"/>
                <w:sz w:val="18"/>
              </w:rPr>
              <w:t>Audit des référentiels en amont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Résistance au changement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Moyen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Élevée</w:t>
            </w:r>
          </w:p>
        </w:tc>
        <w:tc>
          <w:tcPr>
            <w:tcW w:type="dxa" w:w="3118"/>
          </w:tcPr>
          <w:p>
            <w:r>
              <w:rPr>
                <w:rFonts w:ascii="Arial" w:hAnsi="Arial"/>
                <w:sz w:val="18"/>
              </w:rPr>
              <w:t>Plan de formation dédié</w:t>
            </w:r>
          </w:p>
        </w:tc>
      </w:tr>
      <w:tr>
        <w:tc>
          <w:tcPr>
            <w:tcW w:type="dxa" w:w="2835"/>
          </w:tcPr>
          <w:p>
            <w:r>
              <w:rPr>
                <w:rFonts w:ascii="Arial" w:hAnsi="Arial"/>
                <w:sz w:val="18"/>
              </w:rPr>
              <w:t>Dépassement budgétaire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Moyen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Moyenne</w:t>
            </w:r>
          </w:p>
        </w:tc>
        <w:tc>
          <w:tcPr>
            <w:tcW w:type="dxa" w:w="3118"/>
          </w:tcPr>
          <w:p>
            <w:r>
              <w:rPr>
                <w:rFonts w:ascii="Arial" w:hAnsi="Arial"/>
                <w:sz w:val="18"/>
              </w:rPr>
              <w:t>Forfait + comité de pilotage mensuel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2F8020-BB92-4E96-909C-17EADBB2A4E5}"/>
</file>

<file path=customXml/itemProps3.xml><?xml version="1.0" encoding="utf-8"?>
<ds:datastoreItem xmlns:ds="http://schemas.openxmlformats.org/officeDocument/2006/customXml" ds:itemID="{A9B45B3C-444E-47B5-B648-77B3038E6813}"/>
</file>

<file path=customXml/itemProps4.xml><?xml version="1.0" encoding="utf-8"?>
<ds:datastoreItem xmlns:ds="http://schemas.openxmlformats.org/officeDocument/2006/customXml" ds:itemID="{F765EF67-C005-4591-B742-F088BC784C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