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Arial" w:hAnsi="Arial"/>
          <w:b/>
          <w:color w:val="2E75B6"/>
          <w:sz w:val="20"/>
        </w:rPr>
        <w:t>RAPPORT D'ACTIVITÉ</w:t>
      </w:r>
    </w:p>
    <w:p>
      <w:r>
        <w:rPr>
          <w:rFonts w:ascii="Arial" w:hAnsi="Arial"/>
          <w:b/>
          <w:color w:val="1E2761"/>
          <w:sz w:val="44"/>
        </w:rPr>
        <w:t>Synthèse de l'exercice 2025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Émetteur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Direction générale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Date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31/01/2026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Exercice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01/01 – 31/12/2025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Diffusion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Associés &amp; comité de direction</w:t>
            </w:r>
          </w:p>
        </w:tc>
      </w:tr>
    </w:tbl>
    <w:p/>
    <w:p>
      <w:pPr>
        <w:pStyle w:val="Heading1"/>
      </w:pPr>
      <w:r>
        <w:t>1. Faits marquants</w:t>
      </w:r>
    </w:p>
    <w:p>
      <w:pPr>
        <w:pStyle w:val="ListBullet"/>
      </w:pPr>
      <w:r>
        <w:rPr>
          <w:rFonts w:ascii="Arial" w:hAnsi="Arial"/>
          <w:sz w:val="22"/>
        </w:rPr>
        <w:t>Chiffre d'affaires de 6 200 000 €, en hausse de 8,0 % sur un an.</w:t>
      </w:r>
    </w:p>
    <w:p>
      <w:pPr>
        <w:pStyle w:val="ListBullet"/>
      </w:pPr>
      <w:r>
        <w:rPr>
          <w:rFonts w:ascii="Arial" w:hAnsi="Arial"/>
          <w:sz w:val="22"/>
        </w:rPr>
        <w:t>Signature du contrat-cadre avec la chaîne Épicentre (5 magasins).</w:t>
      </w:r>
    </w:p>
    <w:p>
      <w:pPr>
        <w:pStyle w:val="ListBullet"/>
      </w:pPr>
      <w:r>
        <w:rPr>
          <w:rFonts w:ascii="Arial" w:hAnsi="Arial"/>
          <w:sz w:val="22"/>
        </w:rPr>
        <w:t>Lancement du projet ERP &amp; refonte logistique pour 2026.</w:t>
      </w:r>
    </w:p>
    <w:p>
      <w:pPr>
        <w:pStyle w:val="ListBullet"/>
      </w:pPr>
      <w:r>
        <w:rPr>
          <w:rFonts w:ascii="Arial" w:hAnsi="Arial"/>
          <w:sz w:val="22"/>
        </w:rPr>
        <w:t>Intégration de deux nouveaux fournisseurs régionaux (Safran de Quercy, Brasserie du Comminges).</w:t>
      </w:r>
    </w:p>
    <w:p>
      <w:pPr>
        <w:pStyle w:val="Heading1"/>
      </w:pPr>
      <w:r>
        <w:t>2. Performance commerciale</w:t>
      </w:r>
    </w:p>
    <w:p>
      <w:r>
        <w:rPr>
          <w:rFonts w:ascii="Arial" w:hAnsi="Arial"/>
          <w:b w:val="0"/>
          <w:i w:val="0"/>
          <w:sz w:val="22"/>
        </w:rPr>
        <w:t>La répartition du chiffre d'affaires par catégorie confirme la prééminence des vins et des conserves, tandis que les fromages progressent le plus vite.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2835"/>
          </w:tcPr>
          <w:p>
            <w:r>
              <w:rPr>
                <w:rFonts w:ascii="Arial" w:hAnsi="Arial"/>
                <w:b/>
                <w:sz w:val="18"/>
              </w:rPr>
              <w:t>Catégorie</w:t>
            </w:r>
          </w:p>
        </w:tc>
        <w:tc>
          <w:tcPr>
            <w:tcW w:type="dxa" w:w="2835"/>
          </w:tcPr>
          <w:p>
            <w:r>
              <w:rPr>
                <w:rFonts w:ascii="Arial" w:hAnsi="Arial"/>
                <w:b/>
                <w:sz w:val="18"/>
              </w:rPr>
              <w:t>CA 2025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b/>
                <w:sz w:val="18"/>
              </w:rPr>
              <w:t>Part</w:t>
            </w:r>
          </w:p>
        </w:tc>
      </w:tr>
      <w:tr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Vins</w:t>
            </w:r>
          </w:p>
        </w:tc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1 736 000 €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28,0 %</w:t>
            </w:r>
          </w:p>
        </w:tc>
      </w:tr>
      <w:tr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Conserves</w:t>
            </w:r>
          </w:p>
        </w:tc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1 426 000 €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23,0 %</w:t>
            </w:r>
          </w:p>
        </w:tc>
      </w:tr>
      <w:tr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Fromages</w:t>
            </w:r>
          </w:p>
        </w:tc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930 000 €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15,0 %</w:t>
            </w:r>
          </w:p>
        </w:tc>
      </w:tr>
      <w:tr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Bières</w:t>
            </w:r>
          </w:p>
        </w:tc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682 000 €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11,0 %</w:t>
            </w:r>
          </w:p>
        </w:tc>
      </w:tr>
      <w:tr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Huiles</w:t>
            </w:r>
          </w:p>
        </w:tc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558 000 €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9,0 %</w:t>
            </w:r>
          </w:p>
        </w:tc>
      </w:tr>
      <w:tr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Épicerie</w:t>
            </w:r>
          </w:p>
        </w:tc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496 000 €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8,0 %</w:t>
            </w:r>
          </w:p>
        </w:tc>
      </w:tr>
      <w:tr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Épices</w:t>
            </w:r>
          </w:p>
        </w:tc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372 000 €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6,0 %</w:t>
            </w:r>
          </w:p>
        </w:tc>
      </w:tr>
    </w:tbl>
    <w:p>
      <w:pPr>
        <w:pStyle w:val="Heading1"/>
      </w:pPr>
      <w:r>
        <w:t>3. Résultats financiers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402"/>
          </w:tcPr>
          <w:p>
            <w:r>
              <w:rPr>
                <w:rFonts w:ascii="Arial" w:hAnsi="Arial"/>
                <w:b/>
                <w:sz w:val="18"/>
              </w:rPr>
              <w:t>Indicateur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b/>
                <w:sz w:val="18"/>
              </w:rPr>
              <w:t>2024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b/>
                <w:sz w:val="18"/>
              </w:rPr>
              <w:t>2025</w:t>
            </w:r>
          </w:p>
        </w:tc>
      </w:tr>
      <w:tr>
        <w:tc>
          <w:tcPr>
            <w:tcW w:type="dxa" w:w="3402"/>
          </w:tcPr>
          <w:p>
            <w:r>
              <w:rPr>
                <w:rFonts w:ascii="Arial" w:hAnsi="Arial"/>
                <w:sz w:val="18"/>
              </w:rPr>
              <w:t>Chiffre d'affaires HT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5 740 000 €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6 200 000 €</w:t>
            </w:r>
          </w:p>
        </w:tc>
      </w:tr>
      <w:tr>
        <w:tc>
          <w:tcPr>
            <w:tcW w:type="dxa" w:w="3402"/>
          </w:tcPr>
          <w:p>
            <w:r>
              <w:rPr>
                <w:rFonts w:ascii="Arial" w:hAnsi="Arial"/>
                <w:sz w:val="18"/>
              </w:rPr>
              <w:t>Marge brute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30,9 %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32,2 %</w:t>
            </w:r>
          </w:p>
        </w:tc>
      </w:tr>
      <w:tr>
        <w:tc>
          <w:tcPr>
            <w:tcW w:type="dxa" w:w="3402"/>
          </w:tcPr>
          <w:p>
            <w:r>
              <w:rPr>
                <w:rFonts w:ascii="Arial" w:hAnsi="Arial"/>
                <w:sz w:val="18"/>
              </w:rPr>
              <w:t>EBE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318 000 €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384 000 €</w:t>
            </w:r>
          </w:p>
        </w:tc>
      </w:tr>
      <w:tr>
        <w:tc>
          <w:tcPr>
            <w:tcW w:type="dxa" w:w="3402"/>
          </w:tcPr>
          <w:p>
            <w:r>
              <w:rPr>
                <w:rFonts w:ascii="Arial" w:hAnsi="Arial"/>
                <w:sz w:val="18"/>
              </w:rPr>
              <w:t>Résultat net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152 000 €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196 000 €</w:t>
            </w:r>
          </w:p>
        </w:tc>
      </w:tr>
    </w:tbl>
    <w:p>
      <w:pPr>
        <w:pStyle w:val="Heading1"/>
      </w:pPr>
      <w:r>
        <w:t>4. Logistique &amp; qualité</w:t>
      </w:r>
    </w:p>
    <w:p>
      <w:r>
        <w:rPr>
          <w:rFonts w:ascii="Arial" w:hAnsi="Arial"/>
          <w:b w:val="0"/>
          <w:i w:val="0"/>
          <w:sz w:val="22"/>
        </w:rPr>
        <w:t>Taux de service de 96,2 % et rotation des stocks à 41 jours. Les axes d'amélioration sont intégrés au projet ERP 2026.</w:t>
      </w:r>
    </w:p>
    <w:p>
      <w:pPr>
        <w:pStyle w:val="Heading1"/>
      </w:pPr>
      <w:r>
        <w:t>5. Perspectives 2026</w:t>
      </w:r>
    </w:p>
    <w:p>
      <w:r>
        <w:rPr>
          <w:rFonts w:ascii="Arial" w:hAnsi="Arial"/>
          <w:b w:val="0"/>
          <w:i w:val="0"/>
          <w:sz w:val="22"/>
        </w:rPr>
        <w:t>Objectif de CA de 6 700 000 € (+8 %), déploiement de l'ERP, lancement d'une offre 'coffrets terroir', et renforcement de la présence sur la restauration toulousaine.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247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808080"/>
        <w:sz w:val="16"/>
      </w:rPr>
      <w:t>Document interne — usage de formation  |  12 rue de l'Industrie, ZA En Jacca, 31770 Colomiers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/>
        <w:color w:val="808080"/>
        <w:sz w:val="16"/>
      </w:rPr>
      <w:t>Maison Cazaux  —  Cazaux &amp; Fils Distribution SAS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E276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E276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E276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2CA884FA57F946BB47D141BA734ECC" ma:contentTypeVersion="3" ma:contentTypeDescription="Create a new document." ma:contentTypeScope="" ma:versionID="c9550a46b6b258a305ad609ea7b1e6bd">
  <xsd:schema xmlns:xsd="http://www.w3.org/2001/XMLSchema" xmlns:xs="http://www.w3.org/2001/XMLSchema" xmlns:p="http://schemas.microsoft.com/office/2006/metadata/properties" xmlns:ns2="b166b0b9-3d01-4d5c-8ffe-6bdae0fbc771" targetNamespace="http://schemas.microsoft.com/office/2006/metadata/properties" ma:root="true" ma:fieldsID="b55786e975b4babda38bf4402ab570c0" ns2:_="">
    <xsd:import namespace="b166b0b9-3d01-4d5c-8ffe-6bdae0fbc7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6b0b9-3d01-4d5c-8ffe-6bdae0fbc7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FBFCFD-55A3-458D-AB40-567D6F5B45EA}"/>
</file>

<file path=customXml/itemProps3.xml><?xml version="1.0" encoding="utf-8"?>
<ds:datastoreItem xmlns:ds="http://schemas.openxmlformats.org/officeDocument/2006/customXml" ds:itemID="{5D3008D0-3D96-4A04-8200-4AA9EAFC621B}"/>
</file>

<file path=customXml/itemProps4.xml><?xml version="1.0" encoding="utf-8"?>
<ds:datastoreItem xmlns:ds="http://schemas.openxmlformats.org/officeDocument/2006/customXml" ds:itemID="{B125F11D-C40D-40EF-A1CD-2D30931BFD7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0x0101008E2CA884FA57F946BB47D141BA734ECC</vt:lpwstr>
  </property>
</Properties>
</file>