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Arial" w:hAnsi="Arial"/>
          <w:b/>
          <w:color w:val="2E75B6"/>
          <w:sz w:val="20"/>
        </w:rPr>
        <w:t>PROCÉDURE QUALITÉ</w:t>
      </w:r>
    </w:p>
    <w:p>
      <w:r>
        <w:rPr>
          <w:rFonts w:ascii="Arial" w:hAnsi="Arial"/>
          <w:b/>
          <w:color w:val="1E2761"/>
          <w:sz w:val="44"/>
        </w:rPr>
        <w:t>Réception &amp; contrôle des marchandises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Réf.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QUA-REC-01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Pilote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Thomas Albert (Logistique)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Applicable à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Plateforme Colomiers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Version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3.1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Date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15/09/2025</w:t>
            </w:r>
          </w:p>
        </w:tc>
      </w:tr>
    </w:tbl>
    <w:p/>
    <w:p>
      <w:pPr>
        <w:pStyle w:val="Heading1"/>
      </w:pPr>
      <w:r>
        <w:t>1. Objet</w:t>
      </w:r>
    </w:p>
    <w:p>
      <w:r>
        <w:rPr>
          <w:rFonts w:ascii="Arial" w:hAnsi="Arial"/>
          <w:b w:val="0"/>
          <w:i w:val="0"/>
          <w:sz w:val="22"/>
        </w:rPr>
        <w:t>Définir les étapes de contrôle à la réception des marchandises afin de garantir la conformité quantitative, qualitative et sanitaire des produits avant mise en stock.</w:t>
      </w:r>
    </w:p>
    <w:p>
      <w:pPr>
        <w:pStyle w:val="Heading1"/>
      </w:pPr>
      <w:r>
        <w:t>2. Étapes de contrôle</w:t>
      </w:r>
    </w:p>
    <w:p>
      <w:r>
        <w:rPr>
          <w:rFonts w:ascii="Arial" w:hAnsi="Arial"/>
          <w:b w:val="0"/>
          <w:i w:val="0"/>
          <w:sz w:val="22"/>
        </w:rPr>
        <w:t>À chaque livraison, l'agent de réception applique la séquence suivante :</w:t>
      </w:r>
    </w:p>
    <w:p>
      <w:pPr>
        <w:pStyle w:val="ListNumber"/>
      </w:pPr>
      <w:r>
        <w:rPr>
          <w:rFonts w:ascii="Arial" w:hAnsi="Arial"/>
          <w:sz w:val="22"/>
        </w:rPr>
        <w:t>Vérifier la concordance entre le bon de livraison, le bon de commande et la facture.</w:t>
      </w:r>
    </w:p>
    <w:p>
      <w:pPr>
        <w:pStyle w:val="ListNumber"/>
      </w:pPr>
      <w:r>
        <w:rPr>
          <w:rFonts w:ascii="Arial" w:hAnsi="Arial"/>
          <w:sz w:val="22"/>
        </w:rPr>
        <w:t>Contrôler l'intégrité des palettes et l'absence de dommage de transport.</w:t>
      </w:r>
    </w:p>
    <w:p>
      <w:pPr>
        <w:pStyle w:val="ListNumber"/>
      </w:pPr>
      <w:r>
        <w:rPr>
          <w:rFonts w:ascii="Arial" w:hAnsi="Arial"/>
          <w:sz w:val="22"/>
        </w:rPr>
        <w:t>Vérifier les quantités reçues réf. par réf. et noter tout écart.</w:t>
      </w:r>
    </w:p>
    <w:p>
      <w:pPr>
        <w:pStyle w:val="ListNumber"/>
      </w:pPr>
      <w:r>
        <w:rPr>
          <w:rFonts w:ascii="Arial" w:hAnsi="Arial"/>
          <w:sz w:val="22"/>
        </w:rPr>
        <w:t>Pour les produits frais (fromages) : contrôler la température (≤ 4 °C) et les DLC.</w:t>
      </w:r>
    </w:p>
    <w:p>
      <w:pPr>
        <w:pStyle w:val="ListNumber"/>
      </w:pPr>
      <w:r>
        <w:rPr>
          <w:rFonts w:ascii="Arial" w:hAnsi="Arial"/>
          <w:sz w:val="22"/>
        </w:rPr>
        <w:t>Relever les numéros de lot et les enregistrer dans le registre de traçabilité.</w:t>
      </w:r>
    </w:p>
    <w:p>
      <w:pPr>
        <w:pStyle w:val="ListNumber"/>
      </w:pPr>
      <w:r>
        <w:rPr>
          <w:rFonts w:ascii="Arial" w:hAnsi="Arial"/>
          <w:sz w:val="22"/>
        </w:rPr>
        <w:t>Apposer l'étiquette de réception et ranger selon le plan d'adressage (FIFO).</w:t>
      </w:r>
    </w:p>
    <w:p>
      <w:pPr>
        <w:pStyle w:val="Heading1"/>
      </w:pPr>
      <w:r>
        <w:t>3. Gestion des non-conformités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2835"/>
          </w:tcPr>
          <w:p>
            <w:r>
              <w:rPr>
                <w:rFonts w:ascii="Arial" w:hAnsi="Arial"/>
                <w:b/>
                <w:sz w:val="18"/>
              </w:rPr>
              <w:t>Type d'anomalie</w:t>
            </w:r>
          </w:p>
        </w:tc>
        <w:tc>
          <w:tcPr>
            <w:tcW w:type="dxa" w:w="3402"/>
          </w:tcPr>
          <w:p>
            <w:r>
              <w:rPr>
                <w:rFonts w:ascii="Arial" w:hAnsi="Arial"/>
                <w:b/>
                <w:sz w:val="18"/>
              </w:rPr>
              <w:t>Action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b/>
                <w:sz w:val="18"/>
              </w:rPr>
              <w:t>Responsable</w:t>
            </w:r>
          </w:p>
        </w:tc>
      </w:tr>
      <w:tr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Écart de quantité</w:t>
            </w:r>
          </w:p>
        </w:tc>
        <w:tc>
          <w:tcPr>
            <w:tcW w:type="dxa" w:w="3402"/>
          </w:tcPr>
          <w:p>
            <w:r>
              <w:rPr>
                <w:rFonts w:ascii="Arial" w:hAnsi="Arial"/>
                <w:sz w:val="18"/>
              </w:rPr>
              <w:t>Réserve sur le BL + signalement achats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Agent réception</w:t>
            </w:r>
          </w:p>
        </w:tc>
      </w:tr>
      <w:tr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Produit endommagé</w:t>
            </w:r>
          </w:p>
        </w:tc>
        <w:tc>
          <w:tcPr>
            <w:tcW w:type="dxa" w:w="3402"/>
          </w:tcPr>
          <w:p>
            <w:r>
              <w:rPr>
                <w:rFonts w:ascii="Arial" w:hAnsi="Arial"/>
                <w:sz w:val="18"/>
              </w:rPr>
              <w:t>Refus + photo + avoir demandé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Agent réception</w:t>
            </w:r>
          </w:p>
        </w:tc>
      </w:tr>
      <w:tr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Rupture chaîne du froid</w:t>
            </w:r>
          </w:p>
        </w:tc>
        <w:tc>
          <w:tcPr>
            <w:tcW w:type="dxa" w:w="3402"/>
          </w:tcPr>
          <w:p>
            <w:r>
              <w:rPr>
                <w:rFonts w:ascii="Arial" w:hAnsi="Arial"/>
                <w:sz w:val="18"/>
              </w:rPr>
              <w:t>Mise en quarantaine + destruction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Resp. logistique</w:t>
            </w:r>
          </w:p>
        </w:tc>
      </w:tr>
      <w:tr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DLC trop courte</w:t>
            </w:r>
          </w:p>
        </w:tc>
        <w:tc>
          <w:tcPr>
            <w:tcW w:type="dxa" w:w="3402"/>
          </w:tcPr>
          <w:p>
            <w:r>
              <w:rPr>
                <w:rFonts w:ascii="Arial" w:hAnsi="Arial"/>
                <w:sz w:val="18"/>
              </w:rPr>
              <w:t>Refus ou décote négociée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Resp. achats</w:t>
            </w:r>
          </w:p>
        </w:tc>
      </w:tr>
    </w:tbl>
    <w:p>
      <w:pPr>
        <w:pStyle w:val="Heading1"/>
      </w:pPr>
      <w:r>
        <w:t>4. Enregistrements</w:t>
      </w:r>
    </w:p>
    <w:p>
      <w:pPr>
        <w:pStyle w:val="ListBullet"/>
      </w:pPr>
      <w:r>
        <w:rPr>
          <w:rFonts w:ascii="Arial" w:hAnsi="Arial"/>
          <w:sz w:val="22"/>
        </w:rPr>
        <w:t>Registre de traçabilité par lot (conservation 3 ans).</w:t>
      </w:r>
    </w:p>
    <w:p>
      <w:pPr>
        <w:pStyle w:val="ListBullet"/>
      </w:pPr>
      <w:r>
        <w:rPr>
          <w:rFonts w:ascii="Arial" w:hAnsi="Arial"/>
          <w:sz w:val="22"/>
        </w:rPr>
        <w:t>Fiche de non-conformité (FNC) le cas échéant.</w:t>
      </w:r>
    </w:p>
    <w:p>
      <w:pPr>
        <w:pStyle w:val="ListBullet"/>
      </w:pPr>
      <w:r>
        <w:rPr>
          <w:rFonts w:ascii="Arial" w:hAnsi="Arial"/>
          <w:sz w:val="22"/>
        </w:rPr>
        <w:t>Relevé de températures journalier pour la zone froide.</w:t>
      </w:r>
    </w:p>
    <w:p>
      <w:pPr>
        <w:pStyle w:val="Heading1"/>
      </w:pPr>
      <w:r>
        <w:t>5. Indicateur de suivi</w:t>
      </w:r>
    </w:p>
    <w:p>
      <w:r>
        <w:rPr>
          <w:rFonts w:ascii="Arial" w:hAnsi="Arial"/>
          <w:b w:val="0"/>
          <w:i w:val="0"/>
          <w:sz w:val="22"/>
        </w:rPr>
        <w:t>Taux de service à réception et taux de non-conformité fournisseurs suivis mensuellement. Objectif 2026 : taux de service global ≥ 97,5 %.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247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808080"/>
        <w:sz w:val="16"/>
      </w:rPr>
      <w:t>Document interne — usage de formation  |  12 rue de l'Industrie, ZA En Jacca, 31770 Colomiers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/>
        <w:color w:val="808080"/>
        <w:sz w:val="16"/>
      </w:rPr>
      <w:t>Maison Cazaux  —  Cazaux &amp; Fils Distribution SAS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E276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E276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E276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2CA884FA57F946BB47D141BA734ECC" ma:contentTypeVersion="3" ma:contentTypeDescription="Create a new document." ma:contentTypeScope="" ma:versionID="c9550a46b6b258a305ad609ea7b1e6bd">
  <xsd:schema xmlns:xsd="http://www.w3.org/2001/XMLSchema" xmlns:xs="http://www.w3.org/2001/XMLSchema" xmlns:p="http://schemas.microsoft.com/office/2006/metadata/properties" xmlns:ns2="b166b0b9-3d01-4d5c-8ffe-6bdae0fbc771" targetNamespace="http://schemas.microsoft.com/office/2006/metadata/properties" ma:root="true" ma:fieldsID="b55786e975b4babda38bf4402ab570c0" ns2:_="">
    <xsd:import namespace="b166b0b9-3d01-4d5c-8ffe-6bdae0fbc7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6b0b9-3d01-4d5c-8ffe-6bdae0fbc7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7797F9-D8D4-42EE-85D2-FC4DD31E570C}"/>
</file>

<file path=customXml/itemProps3.xml><?xml version="1.0" encoding="utf-8"?>
<ds:datastoreItem xmlns:ds="http://schemas.openxmlformats.org/officeDocument/2006/customXml" ds:itemID="{B2CE7EE1-C469-4696-8C5B-A3EA92BFEB38}"/>
</file>

<file path=customXml/itemProps4.xml><?xml version="1.0" encoding="utf-8"?>
<ds:datastoreItem xmlns:ds="http://schemas.openxmlformats.org/officeDocument/2006/customXml" ds:itemID="{120F88EE-3736-4484-9E29-334A9D34A8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0x0101008E2CA884FA57F946BB47D141BA734ECC</vt:lpwstr>
  </property>
</Properties>
</file>