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Arial" w:hAnsi="Arial"/>
          <w:b/>
          <w:color w:val="2E75B6"/>
          <w:sz w:val="20"/>
        </w:rPr>
        <w:t>POLITIQUE INTERNE — RESSOURCES HUMAINES</w:t>
      </w:r>
    </w:p>
    <w:p>
      <w:r>
        <w:rPr>
          <w:rFonts w:ascii="Arial" w:hAnsi="Arial"/>
          <w:b/>
          <w:color w:val="1E2761"/>
          <w:sz w:val="44"/>
        </w:rPr>
        <w:t>Télétravail, congés &amp; notes de frais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rFonts w:ascii="Arial" w:hAnsi="Arial"/>
                <w:b/>
                <w:sz w:val="18"/>
              </w:rPr>
              <w:t>Réf.</w:t>
            </w:r>
          </w:p>
        </w:tc>
        <w:tc>
          <w:tcPr>
            <w:tcW w:type="dxa" w:w="4873"/>
          </w:tcPr>
          <w:p>
            <w:r>
              <w:rPr>
                <w:rFonts w:ascii="Arial" w:hAnsi="Arial"/>
                <w:sz w:val="18"/>
              </w:rPr>
              <w:t>RH-POL-2026</w:t>
            </w:r>
          </w:p>
        </w:tc>
      </w:tr>
      <w:tr>
        <w:tc>
          <w:tcPr>
            <w:tcW w:type="dxa" w:w="4873"/>
          </w:tcPr>
          <w:p>
            <w:r>
              <w:rPr>
                <w:rFonts w:ascii="Arial" w:hAnsi="Arial"/>
                <w:b/>
                <w:sz w:val="18"/>
              </w:rPr>
              <w:t>Émetteur</w:t>
            </w:r>
          </w:p>
        </w:tc>
        <w:tc>
          <w:tcPr>
            <w:tcW w:type="dxa" w:w="4873"/>
          </w:tcPr>
          <w:p>
            <w:r>
              <w:rPr>
                <w:rFonts w:ascii="Arial" w:hAnsi="Arial"/>
                <w:sz w:val="18"/>
              </w:rPr>
              <w:t>Julie Marchand (Resp. RH)</w:t>
            </w:r>
          </w:p>
        </w:tc>
      </w:tr>
      <w:tr>
        <w:tc>
          <w:tcPr>
            <w:tcW w:type="dxa" w:w="4873"/>
          </w:tcPr>
          <w:p>
            <w:r>
              <w:rPr>
                <w:rFonts w:ascii="Arial" w:hAnsi="Arial"/>
                <w:b/>
                <w:sz w:val="18"/>
              </w:rPr>
              <w:t>Validé par</w:t>
            </w:r>
          </w:p>
        </w:tc>
        <w:tc>
          <w:tcPr>
            <w:tcW w:type="dxa" w:w="4873"/>
          </w:tcPr>
          <w:p>
            <w:r>
              <w:rPr>
                <w:rFonts w:ascii="Arial" w:hAnsi="Arial"/>
                <w:sz w:val="18"/>
              </w:rPr>
              <w:t>Hélène Cazaux</w:t>
            </w:r>
          </w:p>
        </w:tc>
      </w:tr>
      <w:tr>
        <w:tc>
          <w:tcPr>
            <w:tcW w:type="dxa" w:w="4873"/>
          </w:tcPr>
          <w:p>
            <w:r>
              <w:rPr>
                <w:rFonts w:ascii="Arial" w:hAnsi="Arial"/>
                <w:b/>
                <w:sz w:val="18"/>
              </w:rPr>
              <w:t>Entrée en vigueur</w:t>
            </w:r>
          </w:p>
        </w:tc>
        <w:tc>
          <w:tcPr>
            <w:tcW w:type="dxa" w:w="4873"/>
          </w:tcPr>
          <w:p>
            <w:r>
              <w:rPr>
                <w:rFonts w:ascii="Arial" w:hAnsi="Arial"/>
                <w:sz w:val="18"/>
              </w:rPr>
              <w:t>01/12/2025</w:t>
            </w:r>
          </w:p>
        </w:tc>
      </w:tr>
      <w:tr>
        <w:tc>
          <w:tcPr>
            <w:tcW w:type="dxa" w:w="4873"/>
          </w:tcPr>
          <w:p>
            <w:r>
              <w:rPr>
                <w:rFonts w:ascii="Arial" w:hAnsi="Arial"/>
                <w:b/>
                <w:sz w:val="18"/>
              </w:rPr>
              <w:t>Version</w:t>
            </w:r>
          </w:p>
        </w:tc>
        <w:tc>
          <w:tcPr>
            <w:tcW w:type="dxa" w:w="4873"/>
          </w:tcPr>
          <w:p>
            <w:r>
              <w:rPr>
                <w:rFonts w:ascii="Arial" w:hAnsi="Arial"/>
                <w:sz w:val="18"/>
              </w:rPr>
              <w:t>2.0</w:t>
            </w:r>
          </w:p>
        </w:tc>
      </w:tr>
    </w:tbl>
    <w:p/>
    <w:p>
      <w:pPr>
        <w:pStyle w:val="Heading1"/>
      </w:pPr>
      <w:r>
        <w:t>1. Champ d'application</w:t>
      </w:r>
    </w:p>
    <w:p>
      <w:r>
        <w:rPr>
          <w:rFonts w:ascii="Arial" w:hAnsi="Arial"/>
          <w:b w:val="0"/>
          <w:i w:val="0"/>
          <w:sz w:val="22"/>
        </w:rPr>
        <w:t>La présente politique s'applique à l'ensemble des 23 salariés de Maison Cazaux, sous réserve des contraintes propres aux fonctions logistiques et de préparation de commandes, exercées sur site.</w:t>
      </w:r>
    </w:p>
    <w:p>
      <w:pPr>
        <w:pStyle w:val="Heading1"/>
      </w:pPr>
      <w:r>
        <w:t>2. Télétravail</w:t>
      </w:r>
    </w:p>
    <w:p>
      <w:pPr>
        <w:pStyle w:val="ListBullet"/>
      </w:pPr>
      <w:r>
        <w:rPr>
          <w:rFonts w:ascii="Arial" w:hAnsi="Arial"/>
          <w:sz w:val="22"/>
        </w:rPr>
        <w:t>Les fonctions support (administration, finance, commercial sédentaire) peuvent télétravailler jusqu'à 2 jours par semaine.</w:t>
      </w:r>
    </w:p>
    <w:p>
      <w:pPr>
        <w:pStyle w:val="ListBullet"/>
      </w:pPr>
      <w:r>
        <w:rPr>
          <w:rFonts w:ascii="Arial" w:hAnsi="Arial"/>
          <w:sz w:val="22"/>
        </w:rPr>
        <w:t>Les jours de télétravail sont fixés en accord avec le responsable et hors lundi (jour de réunion d'équipe).</w:t>
      </w:r>
    </w:p>
    <w:p>
      <w:pPr>
        <w:pStyle w:val="ListBullet"/>
      </w:pPr>
      <w:r>
        <w:rPr>
          <w:rFonts w:ascii="Arial" w:hAnsi="Arial"/>
          <w:sz w:val="22"/>
        </w:rPr>
        <w:t>Les fonctions logistiques et entrepôt ne sont pas éligibles au télétravail.</w:t>
      </w:r>
    </w:p>
    <w:p>
      <w:pPr>
        <w:pStyle w:val="ListBullet"/>
      </w:pPr>
      <w:r>
        <w:rPr>
          <w:rFonts w:ascii="Arial" w:hAnsi="Arial"/>
          <w:sz w:val="22"/>
        </w:rPr>
        <w:t>L'entreprise verse une indemnité forfaitaire de 2,60 € par jour télétravaillé.</w:t>
      </w:r>
    </w:p>
    <w:p>
      <w:pPr>
        <w:pStyle w:val="Heading1"/>
      </w:pPr>
      <w:r>
        <w:t>3. Congés payés et RTT</w:t>
      </w:r>
    </w:p>
    <w:p>
      <w:r>
        <w:rPr>
          <w:rFonts w:ascii="Arial" w:hAnsi="Arial"/>
          <w:b w:val="0"/>
          <w:i w:val="0"/>
          <w:sz w:val="22"/>
        </w:rPr>
        <w:t>Les salariés bénéficient de 25 jours de congés payés et de 9 jours de RTT par an. Les demandes sont déposées via l'outil RH au moins 2 semaines à l'avance. La période estivale (juillet-août) fait l'objet d'un planning concerté pour maintenir l'activité.</w:t>
      </w:r>
    </w:p>
    <w:p>
      <w:pPr>
        <w:pStyle w:val="Heading1"/>
      </w:pPr>
      <w:r>
        <w:t>4. Notes de frais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3249"/>
        <w:gridCol w:w="3249"/>
        <w:gridCol w:w="3249"/>
      </w:tblGrid>
      <w:tr>
        <w:tc>
          <w:tcPr>
            <w:tcW w:type="dxa" w:w="2835"/>
          </w:tcPr>
          <w:p>
            <w:r>
              <w:rPr>
                <w:rFonts w:ascii="Arial" w:hAnsi="Arial"/>
                <w:b/>
                <w:sz w:val="18"/>
              </w:rPr>
              <w:t>Nature</w:t>
            </w:r>
          </w:p>
        </w:tc>
        <w:tc>
          <w:tcPr>
            <w:tcW w:type="dxa" w:w="2835"/>
          </w:tcPr>
          <w:p>
            <w:r>
              <w:rPr>
                <w:rFonts w:ascii="Arial" w:hAnsi="Arial"/>
                <w:b/>
                <w:sz w:val="18"/>
              </w:rPr>
              <w:t>Plafond</w:t>
            </w:r>
          </w:p>
        </w:tc>
        <w:tc>
          <w:tcPr>
            <w:tcW w:type="dxa" w:w="2551"/>
          </w:tcPr>
          <w:p>
            <w:r>
              <w:rPr>
                <w:rFonts w:ascii="Arial" w:hAnsi="Arial"/>
                <w:b/>
                <w:sz w:val="18"/>
              </w:rPr>
              <w:t>Justificatif</w:t>
            </w:r>
          </w:p>
        </w:tc>
      </w:tr>
      <w:tr>
        <w:tc>
          <w:tcPr>
            <w:tcW w:type="dxa" w:w="2835"/>
          </w:tcPr>
          <w:p>
            <w:r>
              <w:rPr>
                <w:rFonts w:ascii="Arial" w:hAnsi="Arial"/>
                <w:sz w:val="18"/>
              </w:rPr>
              <w:t>Repas (déplacement)</w:t>
            </w:r>
          </w:p>
        </w:tc>
        <w:tc>
          <w:tcPr>
            <w:tcW w:type="dxa" w:w="2835"/>
          </w:tcPr>
          <w:p>
            <w:r>
              <w:rPr>
                <w:rFonts w:ascii="Arial" w:hAnsi="Arial"/>
                <w:sz w:val="18"/>
              </w:rPr>
              <w:t>19 € / repas</w:t>
            </w:r>
          </w:p>
        </w:tc>
        <w:tc>
          <w:tcPr>
            <w:tcW w:type="dxa" w:w="2551"/>
          </w:tcPr>
          <w:p>
            <w:r>
              <w:rPr>
                <w:rFonts w:ascii="Arial" w:hAnsi="Arial"/>
                <w:sz w:val="18"/>
              </w:rPr>
              <w:t>Facture obligatoire</w:t>
            </w:r>
          </w:p>
        </w:tc>
      </w:tr>
      <w:tr>
        <w:tc>
          <w:tcPr>
            <w:tcW w:type="dxa" w:w="2835"/>
          </w:tcPr>
          <w:p>
            <w:r>
              <w:rPr>
                <w:rFonts w:ascii="Arial" w:hAnsi="Arial"/>
                <w:sz w:val="18"/>
              </w:rPr>
              <w:t>Nuitée hôtel (province)</w:t>
            </w:r>
          </w:p>
        </w:tc>
        <w:tc>
          <w:tcPr>
            <w:tcW w:type="dxa" w:w="2835"/>
          </w:tcPr>
          <w:p>
            <w:r>
              <w:rPr>
                <w:rFonts w:ascii="Arial" w:hAnsi="Arial"/>
                <w:sz w:val="18"/>
              </w:rPr>
              <w:t>95 € / nuit</w:t>
            </w:r>
          </w:p>
        </w:tc>
        <w:tc>
          <w:tcPr>
            <w:tcW w:type="dxa" w:w="2551"/>
          </w:tcPr>
          <w:p>
            <w:r>
              <w:rPr>
                <w:rFonts w:ascii="Arial" w:hAnsi="Arial"/>
                <w:sz w:val="18"/>
              </w:rPr>
              <w:t>Facture obligatoire</w:t>
            </w:r>
          </w:p>
        </w:tc>
      </w:tr>
      <w:tr>
        <w:tc>
          <w:tcPr>
            <w:tcW w:type="dxa" w:w="2835"/>
          </w:tcPr>
          <w:p>
            <w:r>
              <w:rPr>
                <w:rFonts w:ascii="Arial" w:hAnsi="Arial"/>
                <w:sz w:val="18"/>
              </w:rPr>
              <w:t>Indemnité kilométrique</w:t>
            </w:r>
          </w:p>
        </w:tc>
        <w:tc>
          <w:tcPr>
            <w:tcW w:type="dxa" w:w="2835"/>
          </w:tcPr>
          <w:p>
            <w:r>
              <w:rPr>
                <w:rFonts w:ascii="Arial" w:hAnsi="Arial"/>
                <w:sz w:val="18"/>
              </w:rPr>
              <w:t>Barème URSSAF en vigueur</w:t>
            </w:r>
          </w:p>
        </w:tc>
        <w:tc>
          <w:tcPr>
            <w:tcW w:type="dxa" w:w="2551"/>
          </w:tcPr>
          <w:p>
            <w:r>
              <w:rPr>
                <w:rFonts w:ascii="Arial" w:hAnsi="Arial"/>
                <w:sz w:val="18"/>
              </w:rPr>
              <w:t>Relevé de trajets</w:t>
            </w:r>
          </w:p>
        </w:tc>
      </w:tr>
      <w:tr>
        <w:tc>
          <w:tcPr>
            <w:tcW w:type="dxa" w:w="2835"/>
          </w:tcPr>
          <w:p>
            <w:r>
              <w:rPr>
                <w:rFonts w:ascii="Arial" w:hAnsi="Arial"/>
                <w:sz w:val="18"/>
              </w:rPr>
              <w:t>Frais de réception client</w:t>
            </w:r>
          </w:p>
        </w:tc>
        <w:tc>
          <w:tcPr>
            <w:tcW w:type="dxa" w:w="2835"/>
          </w:tcPr>
          <w:p>
            <w:r>
              <w:rPr>
                <w:rFonts w:ascii="Arial" w:hAnsi="Arial"/>
                <w:sz w:val="18"/>
              </w:rPr>
              <w:t>Sur accord préalable</w:t>
            </w:r>
          </w:p>
        </w:tc>
        <w:tc>
          <w:tcPr>
            <w:tcW w:type="dxa" w:w="2551"/>
          </w:tcPr>
          <w:p>
            <w:r>
              <w:rPr>
                <w:rFonts w:ascii="Arial" w:hAnsi="Arial"/>
                <w:sz w:val="18"/>
              </w:rPr>
              <w:t>Facture + motif</w:t>
            </w:r>
          </w:p>
        </w:tc>
      </w:tr>
    </w:tbl>
    <w:p>
      <w:r>
        <w:rPr>
          <w:rFonts w:ascii="Arial" w:hAnsi="Arial"/>
          <w:b w:val="0"/>
          <w:i w:val="0"/>
          <w:sz w:val="22"/>
        </w:rPr>
        <w:t>Les notes de frais sont soumises avant le 5 du mois suivant et remboursées avec la paie.</w:t>
      </w:r>
    </w:p>
    <w:p>
      <w:pPr>
        <w:pStyle w:val="Heading1"/>
      </w:pPr>
      <w:r>
        <w:t>5. Contact</w:t>
      </w:r>
    </w:p>
    <w:p>
      <w:r>
        <w:rPr>
          <w:rFonts w:ascii="Arial" w:hAnsi="Arial"/>
          <w:b w:val="0"/>
          <w:i w:val="0"/>
          <w:sz w:val="22"/>
        </w:rPr>
        <w:t>Pour toute question : Julie Marchand — j.marchand@maison-cazaux.fr.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247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808080"/>
        <w:sz w:val="16"/>
      </w:rPr>
      <w:t>Document interne — usage de formation  |  12 rue de l'Industrie, ZA En Jacca, 31770 Colomiers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/>
        <w:color w:val="808080"/>
        <w:sz w:val="16"/>
      </w:rPr>
      <w:t>Maison Cazaux  —  Cazaux &amp; Fils Distribution SAS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E2761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E276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E2761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2CA884FA57F946BB47D141BA734ECC" ma:contentTypeVersion="3" ma:contentTypeDescription="Create a new document." ma:contentTypeScope="" ma:versionID="c9550a46b6b258a305ad609ea7b1e6bd">
  <xsd:schema xmlns:xsd="http://www.w3.org/2001/XMLSchema" xmlns:xs="http://www.w3.org/2001/XMLSchema" xmlns:p="http://schemas.microsoft.com/office/2006/metadata/properties" xmlns:ns2="b166b0b9-3d01-4d5c-8ffe-6bdae0fbc771" targetNamespace="http://schemas.microsoft.com/office/2006/metadata/properties" ma:root="true" ma:fieldsID="b55786e975b4babda38bf4402ab570c0" ns2:_="">
    <xsd:import namespace="b166b0b9-3d01-4d5c-8ffe-6bdae0fbc7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66b0b9-3d01-4d5c-8ffe-6bdae0fbc7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38FC85-B89A-4CF0-85B9-7A91C8B25F98}"/>
</file>

<file path=customXml/itemProps3.xml><?xml version="1.0" encoding="utf-8"?>
<ds:datastoreItem xmlns:ds="http://schemas.openxmlformats.org/officeDocument/2006/customXml" ds:itemID="{50F9BF31-AFA1-4B9A-817E-4C4AB1C11BCB}"/>
</file>

<file path=customXml/itemProps4.xml><?xml version="1.0" encoding="utf-8"?>
<ds:datastoreItem xmlns:ds="http://schemas.openxmlformats.org/officeDocument/2006/customXml" ds:itemID="{C32AA39B-1C22-469A-AECE-B4CB8CF819A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0x0101008E2CA884FA57F946BB47D141BA734ECC</vt:lpwstr>
  </property>
</Properties>
</file>